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6CCD8FE6" w:rsidR="00F57404" w:rsidRPr="00F57404" w:rsidRDefault="00F57404" w:rsidP="00A60FEA">
            <w:pPr>
              <w:tabs>
                <w:tab w:val="right" w:pos="8647"/>
              </w:tabs>
              <w:spacing w:line="240" w:lineRule="auto"/>
              <w:ind w:right="-143"/>
              <w:jc w:val="center"/>
              <w:rPr>
                <w:rFonts w:ascii="Arial" w:hAnsi="Arial" w:cs="Arial"/>
                <w:bCs w:val="0"/>
                <w:color w:val="auto"/>
                <w:sz w:val="20"/>
              </w:rPr>
            </w:pPr>
            <w:r w:rsidRPr="00F57404">
              <w:rPr>
                <w:rFonts w:ascii="Arial" w:hAnsi="Arial" w:cs="Arial"/>
                <w:bCs w:val="0"/>
                <w:color w:val="auto"/>
                <w:sz w:val="20"/>
              </w:rPr>
              <w:t>ASP-</w:t>
            </w:r>
            <w:r w:rsidR="00F7124D">
              <w:rPr>
                <w:rFonts w:ascii="Arial" w:hAnsi="Arial" w:cs="Arial"/>
                <w:bCs w:val="0"/>
                <w:color w:val="auto"/>
                <w:sz w:val="20"/>
              </w:rPr>
              <w:t>113</w:t>
            </w:r>
            <w:r w:rsidRPr="00F57404">
              <w:rPr>
                <w:rFonts w:ascii="Arial" w:hAnsi="Arial" w:cs="Arial"/>
                <w:bCs w:val="0"/>
                <w:color w:val="auto"/>
                <w:sz w:val="20"/>
              </w:rPr>
              <w:t>-</w:t>
            </w:r>
            <w:r w:rsidR="005E400A">
              <w:rPr>
                <w:rFonts w:ascii="Arial" w:hAnsi="Arial" w:cs="Arial"/>
                <w:bCs w:val="0"/>
                <w:color w:val="auto"/>
                <w:sz w:val="20"/>
              </w:rPr>
              <w:t>2025</w:t>
            </w:r>
            <w:r w:rsidRPr="00F57404">
              <w:rPr>
                <w:rFonts w:ascii="Arial" w:hAnsi="Arial" w:cs="Arial"/>
                <w:bCs w:val="0"/>
                <w:color w:val="auto"/>
                <w:sz w:val="20"/>
              </w:rPr>
              <w:t>-SAN GABÁN S.A. – “</w:t>
            </w:r>
            <w:r w:rsidR="00F7124D">
              <w:rPr>
                <w:rFonts w:ascii="Arial" w:hAnsi="Arial" w:cs="Arial"/>
                <w:bCs w:val="0"/>
                <w:color w:val="auto"/>
                <w:sz w:val="20"/>
              </w:rPr>
              <w:t>SERVICIO DE MANTENIMIENTO DE EQUIPOS PESADOS DE LA C.H. SAN GABÁN II.</w:t>
            </w:r>
            <w:r w:rsidRPr="00F57404">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impedimento para postular en el proceso de selección ni para contratar con el Estado, conforme al artículo 11 de la Ley de Contrataciones del Estado – Ley 30225.</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lastRenderedPageBreak/>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Ley de Contrataciones del Estado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10773" w:type="dxa"/>
        <w:tblInd w:w="-1139" w:type="dxa"/>
        <w:tblCellMar>
          <w:left w:w="70" w:type="dxa"/>
          <w:right w:w="70" w:type="dxa"/>
        </w:tblCellMar>
        <w:tblLook w:val="04A0" w:firstRow="1" w:lastRow="0" w:firstColumn="1" w:lastColumn="0" w:noHBand="0" w:noVBand="1"/>
      </w:tblPr>
      <w:tblGrid>
        <w:gridCol w:w="572"/>
        <w:gridCol w:w="6516"/>
        <w:gridCol w:w="709"/>
        <w:gridCol w:w="959"/>
        <w:gridCol w:w="1025"/>
        <w:gridCol w:w="992"/>
      </w:tblGrid>
      <w:tr w:rsidR="00D761FA" w:rsidRPr="00340079" w14:paraId="10A81DB6" w14:textId="77777777" w:rsidTr="00D761FA">
        <w:trPr>
          <w:trHeight w:val="372"/>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6516" w:type="dxa"/>
            <w:tcBorders>
              <w:top w:val="single" w:sz="4" w:space="0" w:color="auto"/>
              <w:left w:val="nil"/>
              <w:bottom w:val="single" w:sz="4" w:space="0" w:color="auto"/>
              <w:right w:val="single" w:sz="4" w:space="0" w:color="auto"/>
            </w:tcBorders>
            <w:shd w:val="clear" w:color="auto" w:fill="auto"/>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959" w:type="dxa"/>
            <w:tcBorders>
              <w:top w:val="single" w:sz="4" w:space="0" w:color="auto"/>
              <w:left w:val="nil"/>
              <w:bottom w:val="single" w:sz="4" w:space="0" w:color="auto"/>
              <w:right w:val="single" w:sz="4" w:space="0" w:color="auto"/>
            </w:tcBorders>
            <w:shd w:val="clear" w:color="auto" w:fill="auto"/>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D939CD" w:rsidRPr="00340079" w14:paraId="453361CD" w14:textId="77777777" w:rsidTr="00706F71">
        <w:trPr>
          <w:trHeight w:val="211"/>
        </w:trPr>
        <w:tc>
          <w:tcPr>
            <w:tcW w:w="572" w:type="dxa"/>
            <w:vMerge w:val="restart"/>
            <w:tcBorders>
              <w:top w:val="nil"/>
              <w:left w:val="single" w:sz="4" w:space="0" w:color="auto"/>
              <w:right w:val="single" w:sz="4" w:space="0" w:color="auto"/>
            </w:tcBorders>
            <w:shd w:val="clear" w:color="auto" w:fill="auto"/>
            <w:vAlign w:val="center"/>
            <w:hideMark/>
          </w:tcPr>
          <w:p w14:paraId="1C888E95" w14:textId="1A032F00"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6516" w:type="dxa"/>
            <w:tcBorders>
              <w:top w:val="nil"/>
              <w:left w:val="nil"/>
              <w:bottom w:val="single" w:sz="4" w:space="0" w:color="auto"/>
              <w:right w:val="single" w:sz="4" w:space="0" w:color="auto"/>
            </w:tcBorders>
            <w:shd w:val="clear" w:color="auto" w:fill="D9D9D9" w:themeFill="background1" w:themeFillShade="D9"/>
            <w:vAlign w:val="center"/>
            <w:hideMark/>
          </w:tcPr>
          <w:p w14:paraId="3DD2BE33" w14:textId="4ECB870F" w:rsidR="00D939CD" w:rsidRPr="00F7124D" w:rsidRDefault="00D939CD" w:rsidP="00E16DEA">
            <w:pPr>
              <w:spacing w:after="0" w:line="240" w:lineRule="auto"/>
              <w:jc w:val="center"/>
              <w:rPr>
                <w:rFonts w:ascii="Arial" w:eastAsia="Times New Roman" w:hAnsi="Arial" w:cs="Arial"/>
                <w:b/>
                <w:i/>
                <w:iCs/>
                <w:color w:val="auto"/>
                <w:sz w:val="18"/>
                <w:szCs w:val="16"/>
              </w:rPr>
            </w:pPr>
            <w:r w:rsidRPr="00CD3588">
              <w:rPr>
                <w:rFonts w:ascii="Arial" w:eastAsia="Times New Roman" w:hAnsi="Arial" w:cs="Arial"/>
                <w:i/>
                <w:iCs/>
                <w:color w:val="auto"/>
                <w:sz w:val="18"/>
                <w:szCs w:val="16"/>
              </w:rPr>
              <w:t> </w:t>
            </w:r>
            <w:r w:rsidRPr="00D939CD">
              <w:rPr>
                <w:rFonts w:ascii="Arial" w:hAnsi="Arial" w:cs="Arial"/>
                <w:b/>
                <w:color w:val="auto"/>
                <w:sz w:val="20"/>
                <w:shd w:val="clear" w:color="auto" w:fill="BFBFBF" w:themeFill="background1" w:themeFillShade="BF"/>
              </w:rPr>
              <w:t>SERVICIO DE MANTENIMIENTO DE EQUIPOS PESADOS DE LA C.H. SAN GABÁN II</w:t>
            </w:r>
            <w:r w:rsidRPr="00D939CD">
              <w:rPr>
                <w:rFonts w:ascii="Arial" w:hAnsi="Arial" w:cs="Arial"/>
                <w:b/>
                <w:color w:val="auto"/>
                <w:sz w:val="20"/>
                <w:shd w:val="clear" w:color="auto" w:fill="BFBFBF" w:themeFill="background1" w:themeFillShade="BF"/>
              </w:rPr>
              <w:t>.</w:t>
            </w:r>
          </w:p>
        </w:tc>
        <w:tc>
          <w:tcPr>
            <w:tcW w:w="709" w:type="dxa"/>
            <w:vMerge w:val="restart"/>
            <w:tcBorders>
              <w:top w:val="nil"/>
              <w:left w:val="nil"/>
              <w:right w:val="single" w:sz="4" w:space="0" w:color="auto"/>
            </w:tcBorders>
            <w:shd w:val="clear" w:color="auto" w:fill="auto"/>
            <w:vAlign w:val="center"/>
            <w:hideMark/>
          </w:tcPr>
          <w:p w14:paraId="2457C7B9" w14:textId="77777777" w:rsidR="00D939CD" w:rsidRPr="00CD3588" w:rsidRDefault="00D939CD" w:rsidP="00E16DEA">
            <w:pPr>
              <w:spacing w:after="0" w:line="240" w:lineRule="auto"/>
              <w:rPr>
                <w:rFonts w:ascii="Arial" w:eastAsia="Times New Roman" w:hAnsi="Arial" w:cs="Arial"/>
                <w:i/>
                <w:iCs/>
                <w:color w:val="auto"/>
                <w:sz w:val="18"/>
                <w:szCs w:val="16"/>
              </w:rPr>
            </w:pPr>
            <w:r w:rsidRPr="00CD3588">
              <w:rPr>
                <w:rFonts w:ascii="Arial" w:eastAsia="Times New Roman" w:hAnsi="Arial" w:cs="Arial"/>
                <w:i/>
                <w:iCs/>
                <w:color w:val="auto"/>
                <w:sz w:val="18"/>
                <w:szCs w:val="16"/>
              </w:rPr>
              <w:t> </w:t>
            </w:r>
          </w:p>
          <w:p w14:paraId="58D77CB9" w14:textId="5695D6A1" w:rsidR="00D939CD" w:rsidRPr="00CD3588" w:rsidRDefault="00D939CD" w:rsidP="00E16DEA">
            <w:pPr>
              <w:spacing w:after="0" w:line="240" w:lineRule="auto"/>
              <w:rPr>
                <w:rFonts w:ascii="Arial" w:eastAsia="Times New Roman" w:hAnsi="Arial" w:cs="Arial"/>
                <w:i/>
                <w:iCs/>
                <w:color w:val="auto"/>
                <w:sz w:val="18"/>
                <w:szCs w:val="16"/>
              </w:rPr>
            </w:pPr>
            <w:r w:rsidRPr="00CD3588">
              <w:rPr>
                <w:rFonts w:ascii="Arial" w:eastAsia="Times New Roman" w:hAnsi="Arial" w:cs="Arial"/>
                <w:i/>
                <w:iCs/>
                <w:color w:val="auto"/>
                <w:sz w:val="18"/>
                <w:szCs w:val="16"/>
              </w:rPr>
              <w:t> </w:t>
            </w:r>
          </w:p>
        </w:tc>
        <w:tc>
          <w:tcPr>
            <w:tcW w:w="959" w:type="dxa"/>
            <w:vMerge w:val="restart"/>
            <w:tcBorders>
              <w:top w:val="nil"/>
              <w:left w:val="nil"/>
              <w:right w:val="single" w:sz="4" w:space="0" w:color="auto"/>
            </w:tcBorders>
            <w:shd w:val="clear" w:color="auto" w:fill="auto"/>
            <w:vAlign w:val="center"/>
            <w:hideMark/>
          </w:tcPr>
          <w:p w14:paraId="55F31DAC" w14:textId="77777777" w:rsidR="00D939CD" w:rsidRPr="00CD3588" w:rsidRDefault="00D939CD" w:rsidP="00E16DEA">
            <w:pPr>
              <w:spacing w:after="0" w:line="240" w:lineRule="auto"/>
              <w:jc w:val="center"/>
              <w:rPr>
                <w:rFonts w:ascii="Arial" w:eastAsia="Times New Roman" w:hAnsi="Arial" w:cs="Arial"/>
                <w:i/>
                <w:iCs/>
                <w:color w:val="auto"/>
                <w:sz w:val="18"/>
                <w:szCs w:val="16"/>
              </w:rPr>
            </w:pPr>
            <w:r w:rsidRPr="00CD3588">
              <w:rPr>
                <w:rFonts w:ascii="Arial" w:eastAsia="Times New Roman" w:hAnsi="Arial" w:cs="Arial"/>
                <w:i/>
                <w:iCs/>
                <w:color w:val="auto"/>
                <w:sz w:val="18"/>
                <w:szCs w:val="16"/>
              </w:rPr>
              <w:t> </w:t>
            </w:r>
          </w:p>
          <w:p w14:paraId="5DD8A903" w14:textId="6AC62D84" w:rsidR="00D939CD" w:rsidRPr="00CD3588" w:rsidRDefault="00D939CD" w:rsidP="00E16DEA">
            <w:pPr>
              <w:spacing w:after="0" w:line="240" w:lineRule="auto"/>
              <w:jc w:val="center"/>
              <w:rPr>
                <w:rFonts w:ascii="Arial" w:eastAsia="Times New Roman" w:hAnsi="Arial" w:cs="Arial"/>
                <w:i/>
                <w:iCs/>
                <w:color w:val="auto"/>
                <w:sz w:val="18"/>
                <w:szCs w:val="16"/>
              </w:rPr>
            </w:pPr>
            <w:r w:rsidRPr="00CD3588">
              <w:rPr>
                <w:rFonts w:ascii="Arial" w:eastAsia="Times New Roman" w:hAnsi="Arial" w:cs="Arial"/>
                <w:i/>
                <w:iCs/>
                <w:color w:val="auto"/>
                <w:sz w:val="18"/>
                <w:szCs w:val="16"/>
              </w:rPr>
              <w:t> </w:t>
            </w:r>
          </w:p>
        </w:tc>
        <w:tc>
          <w:tcPr>
            <w:tcW w:w="1025" w:type="dxa"/>
            <w:vMerge w:val="restart"/>
            <w:tcBorders>
              <w:top w:val="nil"/>
              <w:left w:val="nil"/>
              <w:right w:val="single" w:sz="4" w:space="0" w:color="auto"/>
            </w:tcBorders>
            <w:shd w:val="clear" w:color="000000" w:fill="FFFFFF"/>
            <w:vAlign w:val="center"/>
            <w:hideMark/>
          </w:tcPr>
          <w:p w14:paraId="276EDEAD"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p w14:paraId="5BD8AFD4" w14:textId="63614AD1" w:rsidR="00D939CD" w:rsidRPr="00CD3588" w:rsidRDefault="00D939CD"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992" w:type="dxa"/>
            <w:vMerge w:val="restart"/>
            <w:tcBorders>
              <w:top w:val="nil"/>
              <w:left w:val="nil"/>
              <w:right w:val="single" w:sz="4" w:space="0" w:color="auto"/>
            </w:tcBorders>
            <w:shd w:val="clear" w:color="000000" w:fill="FFFFFF"/>
            <w:vAlign w:val="center"/>
            <w:hideMark/>
          </w:tcPr>
          <w:p w14:paraId="1CB3DFBB"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p w14:paraId="22DE4CC2" w14:textId="3B9AC840" w:rsidR="00D939CD" w:rsidRPr="00CD3588" w:rsidRDefault="00D939CD"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D939CD" w:rsidRPr="00340079" w14:paraId="48889277" w14:textId="77777777" w:rsidTr="00706F71">
        <w:trPr>
          <w:trHeight w:val="211"/>
        </w:trPr>
        <w:tc>
          <w:tcPr>
            <w:tcW w:w="572" w:type="dxa"/>
            <w:vMerge/>
            <w:tcBorders>
              <w:left w:val="single" w:sz="4" w:space="0" w:color="auto"/>
              <w:bottom w:val="single" w:sz="4" w:space="0" w:color="auto"/>
              <w:right w:val="single" w:sz="4" w:space="0" w:color="auto"/>
            </w:tcBorders>
            <w:shd w:val="clear" w:color="auto" w:fill="auto"/>
            <w:vAlign w:val="center"/>
            <w:hideMark/>
          </w:tcPr>
          <w:p w14:paraId="5F3BDF92" w14:textId="36CAB80A"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6516" w:type="dxa"/>
            <w:tcBorders>
              <w:top w:val="nil"/>
              <w:left w:val="nil"/>
              <w:bottom w:val="single" w:sz="4" w:space="0" w:color="auto"/>
              <w:right w:val="single" w:sz="4" w:space="0" w:color="auto"/>
            </w:tcBorders>
            <w:shd w:val="clear" w:color="auto" w:fill="auto"/>
            <w:vAlign w:val="center"/>
            <w:hideMark/>
          </w:tcPr>
          <w:p w14:paraId="005D5383" w14:textId="241DCA7F" w:rsidR="00D939CD" w:rsidRPr="00F7124D" w:rsidRDefault="00D939CD" w:rsidP="00F7124D">
            <w:pPr>
              <w:spacing w:after="0" w:line="240" w:lineRule="auto"/>
              <w:jc w:val="center"/>
              <w:rPr>
                <w:rFonts w:ascii="Arial" w:eastAsia="Times New Roman" w:hAnsi="Arial" w:cs="Arial"/>
                <w:color w:val="auto"/>
                <w:sz w:val="18"/>
                <w:szCs w:val="16"/>
              </w:rPr>
            </w:pPr>
            <w:r w:rsidRPr="00D939CD">
              <w:rPr>
                <w:rFonts w:ascii="Arial" w:eastAsia="Times New Roman" w:hAnsi="Arial" w:cs="Arial"/>
                <w:color w:val="auto"/>
                <w:sz w:val="18"/>
                <w:szCs w:val="16"/>
              </w:rPr>
              <w:t> </w:t>
            </w:r>
            <w:r w:rsidRPr="00F7124D">
              <w:rPr>
                <w:rFonts w:ascii="Arial" w:eastAsia="Times New Roman" w:hAnsi="Arial" w:cs="Arial"/>
                <w:color w:val="auto"/>
                <w:sz w:val="18"/>
                <w:szCs w:val="16"/>
              </w:rPr>
              <w:t xml:space="preserve"> El presente servicio comprende el mantenimiento preventivo de los Equipos Pesados de la C.H. San Gabán II, para lo cual el contratista deberá contar con el personal profesional y técnico, así como los equipos, herramientas y materiales necesarios para completar en tiempo, forma y calidad el trabajo que está dentro del alcance del presente servicio. </w:t>
            </w:r>
          </w:p>
          <w:p w14:paraId="16FCC5AC" w14:textId="175981C3" w:rsidR="00D939CD" w:rsidRPr="00D939CD" w:rsidRDefault="00D939CD" w:rsidP="00F7124D">
            <w:pPr>
              <w:spacing w:after="0" w:line="240" w:lineRule="auto"/>
              <w:jc w:val="center"/>
              <w:rPr>
                <w:rFonts w:ascii="Arial" w:eastAsia="Times New Roman" w:hAnsi="Arial" w:cs="Arial"/>
                <w:color w:val="auto"/>
                <w:sz w:val="18"/>
                <w:szCs w:val="16"/>
              </w:rPr>
            </w:pPr>
            <w:r w:rsidRPr="00D939CD">
              <w:rPr>
                <w:rFonts w:ascii="Arial" w:eastAsia="Times New Roman" w:hAnsi="Arial" w:cs="Arial"/>
                <w:color w:val="auto"/>
                <w:sz w:val="18"/>
                <w:szCs w:val="16"/>
              </w:rPr>
              <w:t>El contratista será responsable de ejecutar todas las actividades necesarias para cumplir con el alcance del servicio, las cuales deberán realizarse íntegramente en las instalaciones de la C.H. San Gabán II. De manera enunciativa, mas no limitativa, se incluyen las siguientes actividades:</w:t>
            </w:r>
          </w:p>
        </w:tc>
        <w:tc>
          <w:tcPr>
            <w:tcW w:w="709" w:type="dxa"/>
            <w:vMerge/>
            <w:tcBorders>
              <w:left w:val="nil"/>
              <w:bottom w:val="single" w:sz="4" w:space="0" w:color="auto"/>
              <w:right w:val="single" w:sz="4" w:space="0" w:color="auto"/>
            </w:tcBorders>
            <w:shd w:val="clear" w:color="auto" w:fill="auto"/>
            <w:vAlign w:val="center"/>
            <w:hideMark/>
          </w:tcPr>
          <w:p w14:paraId="7A3824F5" w14:textId="49462DCC" w:rsidR="00D939CD" w:rsidRPr="00CD3588" w:rsidRDefault="00D939CD" w:rsidP="00E16DEA">
            <w:pPr>
              <w:spacing w:after="0" w:line="240" w:lineRule="auto"/>
              <w:rPr>
                <w:rFonts w:ascii="Arial" w:eastAsia="Times New Roman" w:hAnsi="Arial" w:cs="Arial"/>
                <w:i/>
                <w:iCs/>
                <w:color w:val="auto"/>
                <w:sz w:val="18"/>
                <w:szCs w:val="16"/>
              </w:rPr>
            </w:pPr>
          </w:p>
        </w:tc>
        <w:tc>
          <w:tcPr>
            <w:tcW w:w="959" w:type="dxa"/>
            <w:vMerge/>
            <w:tcBorders>
              <w:left w:val="nil"/>
              <w:bottom w:val="single" w:sz="4" w:space="0" w:color="auto"/>
              <w:right w:val="single" w:sz="4" w:space="0" w:color="auto"/>
            </w:tcBorders>
            <w:shd w:val="clear" w:color="auto" w:fill="auto"/>
            <w:vAlign w:val="center"/>
            <w:hideMark/>
          </w:tcPr>
          <w:p w14:paraId="56EEC429" w14:textId="7E2B15E0"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1025" w:type="dxa"/>
            <w:vMerge/>
            <w:tcBorders>
              <w:left w:val="nil"/>
              <w:bottom w:val="single" w:sz="4" w:space="0" w:color="auto"/>
              <w:right w:val="single" w:sz="4" w:space="0" w:color="auto"/>
            </w:tcBorders>
            <w:shd w:val="clear" w:color="000000" w:fill="FFFFFF"/>
            <w:vAlign w:val="center"/>
            <w:hideMark/>
          </w:tcPr>
          <w:p w14:paraId="20E84E29" w14:textId="7CDF8E9C" w:rsidR="00D939CD" w:rsidRPr="00CD3588" w:rsidRDefault="00D939CD" w:rsidP="00E16DEA">
            <w:pPr>
              <w:spacing w:after="0" w:line="240" w:lineRule="auto"/>
              <w:jc w:val="center"/>
              <w:rPr>
                <w:rFonts w:ascii="Arial" w:eastAsia="Times New Roman" w:hAnsi="Arial" w:cs="Arial"/>
                <w:b/>
                <w:bCs/>
                <w:i/>
                <w:iCs/>
                <w:color w:val="auto"/>
                <w:sz w:val="18"/>
                <w:szCs w:val="16"/>
              </w:rPr>
            </w:pPr>
          </w:p>
        </w:tc>
        <w:tc>
          <w:tcPr>
            <w:tcW w:w="992" w:type="dxa"/>
            <w:vMerge/>
            <w:tcBorders>
              <w:left w:val="nil"/>
              <w:bottom w:val="single" w:sz="4" w:space="0" w:color="auto"/>
              <w:right w:val="single" w:sz="4" w:space="0" w:color="auto"/>
            </w:tcBorders>
            <w:shd w:val="clear" w:color="000000" w:fill="FFFFFF"/>
            <w:vAlign w:val="center"/>
            <w:hideMark/>
          </w:tcPr>
          <w:p w14:paraId="0B0B38A4" w14:textId="372EE27E" w:rsidR="00D939CD" w:rsidRPr="00CD3588" w:rsidRDefault="00D939CD" w:rsidP="00E16DEA">
            <w:pPr>
              <w:spacing w:after="0" w:line="240" w:lineRule="auto"/>
              <w:jc w:val="center"/>
              <w:rPr>
                <w:rFonts w:ascii="Arial" w:eastAsia="Times New Roman" w:hAnsi="Arial" w:cs="Arial"/>
                <w:b/>
                <w:bCs/>
                <w:i/>
                <w:iCs/>
                <w:color w:val="auto"/>
                <w:sz w:val="18"/>
                <w:szCs w:val="16"/>
              </w:rPr>
            </w:pPr>
          </w:p>
        </w:tc>
      </w:tr>
      <w:tr w:rsidR="00D939CD" w:rsidRPr="00340079" w14:paraId="78F1108B" w14:textId="77777777" w:rsidTr="00D939CD">
        <w:trPr>
          <w:trHeight w:val="211"/>
        </w:trPr>
        <w:tc>
          <w:tcPr>
            <w:tcW w:w="572" w:type="dxa"/>
            <w:vMerge w:val="restart"/>
            <w:tcBorders>
              <w:top w:val="nil"/>
              <w:left w:val="single" w:sz="4" w:space="0" w:color="auto"/>
              <w:right w:val="single" w:sz="4" w:space="0" w:color="auto"/>
            </w:tcBorders>
            <w:shd w:val="clear" w:color="auto" w:fill="auto"/>
            <w:vAlign w:val="center"/>
            <w:hideMark/>
          </w:tcPr>
          <w:p w14:paraId="3A67C37C" w14:textId="2D10137D" w:rsidR="00D939CD" w:rsidRPr="00CD3588" w:rsidRDefault="00D939CD" w:rsidP="00E16DEA">
            <w:pPr>
              <w:spacing w:after="0" w:line="240" w:lineRule="auto"/>
              <w:jc w:val="center"/>
              <w:rPr>
                <w:rFonts w:ascii="Arial" w:eastAsia="Times New Roman" w:hAnsi="Arial" w:cs="Arial"/>
                <w:i/>
                <w:iCs/>
                <w:color w:val="auto"/>
                <w:sz w:val="18"/>
                <w:szCs w:val="16"/>
              </w:rPr>
            </w:pPr>
            <w:r>
              <w:rPr>
                <w:rFonts w:ascii="Arial" w:eastAsia="Times New Roman" w:hAnsi="Arial" w:cs="Arial"/>
                <w:i/>
                <w:iCs/>
                <w:color w:val="auto"/>
                <w:sz w:val="18"/>
                <w:szCs w:val="16"/>
              </w:rPr>
              <w:t>1</w:t>
            </w:r>
          </w:p>
        </w:tc>
        <w:tc>
          <w:tcPr>
            <w:tcW w:w="6516" w:type="dxa"/>
            <w:tcBorders>
              <w:top w:val="nil"/>
              <w:left w:val="nil"/>
              <w:bottom w:val="single" w:sz="4" w:space="0" w:color="auto"/>
              <w:right w:val="single" w:sz="4" w:space="0" w:color="auto"/>
            </w:tcBorders>
            <w:shd w:val="clear" w:color="auto" w:fill="D9D9D9" w:themeFill="background1" w:themeFillShade="D9"/>
            <w:vAlign w:val="center"/>
            <w:hideMark/>
          </w:tcPr>
          <w:p w14:paraId="39C3473C" w14:textId="6F1EF8DB" w:rsidR="00D939CD" w:rsidRPr="00D939CD" w:rsidRDefault="00D939CD" w:rsidP="00D761FA">
            <w:pPr>
              <w:spacing w:after="0" w:line="240" w:lineRule="auto"/>
              <w:rPr>
                <w:rFonts w:ascii="Arial" w:eastAsia="Times New Roman" w:hAnsi="Arial" w:cs="Arial"/>
                <w:b/>
                <w:bCs/>
                <w:color w:val="auto"/>
                <w:sz w:val="18"/>
                <w:szCs w:val="16"/>
              </w:rPr>
            </w:pPr>
            <w:r w:rsidRPr="00D939CD">
              <w:rPr>
                <w:rFonts w:ascii="Arial" w:eastAsia="Times New Roman" w:hAnsi="Arial" w:cs="Arial"/>
                <w:b/>
                <w:bCs/>
                <w:color w:val="auto"/>
                <w:sz w:val="18"/>
                <w:szCs w:val="16"/>
              </w:rPr>
              <w:t>MANTENIMIENTO PREVENTIVO DE MINICARGADOR FRONTAL GEHL</w:t>
            </w:r>
          </w:p>
        </w:tc>
        <w:tc>
          <w:tcPr>
            <w:tcW w:w="709" w:type="dxa"/>
            <w:vMerge w:val="restart"/>
            <w:tcBorders>
              <w:top w:val="nil"/>
              <w:left w:val="nil"/>
              <w:right w:val="single" w:sz="4" w:space="0" w:color="auto"/>
            </w:tcBorders>
            <w:shd w:val="clear" w:color="auto" w:fill="auto"/>
            <w:vAlign w:val="center"/>
            <w:hideMark/>
          </w:tcPr>
          <w:p w14:paraId="1390A4D0" w14:textId="77777777" w:rsidR="00D939CD" w:rsidRPr="00CD3588" w:rsidRDefault="00D939CD" w:rsidP="00E16DEA">
            <w:pPr>
              <w:spacing w:after="0" w:line="240" w:lineRule="auto"/>
              <w:rPr>
                <w:rFonts w:ascii="Arial" w:eastAsia="Times New Roman" w:hAnsi="Arial" w:cs="Arial"/>
                <w:i/>
                <w:iCs/>
                <w:color w:val="auto"/>
                <w:sz w:val="18"/>
                <w:szCs w:val="16"/>
              </w:rPr>
            </w:pPr>
            <w:r w:rsidRPr="00CD3588">
              <w:rPr>
                <w:rFonts w:ascii="Arial" w:eastAsia="Times New Roman" w:hAnsi="Arial" w:cs="Arial"/>
                <w:i/>
                <w:iCs/>
                <w:color w:val="auto"/>
                <w:sz w:val="18"/>
                <w:szCs w:val="16"/>
              </w:rPr>
              <w:t> </w:t>
            </w:r>
          </w:p>
        </w:tc>
        <w:tc>
          <w:tcPr>
            <w:tcW w:w="959" w:type="dxa"/>
            <w:vMerge w:val="restart"/>
            <w:tcBorders>
              <w:top w:val="nil"/>
              <w:left w:val="nil"/>
              <w:right w:val="single" w:sz="4" w:space="0" w:color="auto"/>
            </w:tcBorders>
            <w:shd w:val="clear" w:color="auto" w:fill="auto"/>
            <w:vAlign w:val="center"/>
            <w:hideMark/>
          </w:tcPr>
          <w:p w14:paraId="2F0F7523" w14:textId="77777777" w:rsidR="00D939CD" w:rsidRPr="00CD3588" w:rsidRDefault="00D939CD" w:rsidP="00E16DEA">
            <w:pPr>
              <w:spacing w:after="0" w:line="240" w:lineRule="auto"/>
              <w:jc w:val="center"/>
              <w:rPr>
                <w:rFonts w:ascii="Arial" w:eastAsia="Times New Roman" w:hAnsi="Arial" w:cs="Arial"/>
                <w:i/>
                <w:iCs/>
                <w:color w:val="auto"/>
                <w:sz w:val="18"/>
                <w:szCs w:val="16"/>
              </w:rPr>
            </w:pPr>
            <w:r w:rsidRPr="00CD3588">
              <w:rPr>
                <w:rFonts w:ascii="Arial" w:eastAsia="Times New Roman" w:hAnsi="Arial" w:cs="Arial"/>
                <w:i/>
                <w:iCs/>
                <w:color w:val="auto"/>
                <w:sz w:val="18"/>
                <w:szCs w:val="16"/>
              </w:rPr>
              <w:t> </w:t>
            </w:r>
          </w:p>
        </w:tc>
        <w:tc>
          <w:tcPr>
            <w:tcW w:w="1025" w:type="dxa"/>
            <w:vMerge w:val="restart"/>
            <w:tcBorders>
              <w:top w:val="nil"/>
              <w:left w:val="nil"/>
              <w:right w:val="single" w:sz="4" w:space="0" w:color="auto"/>
            </w:tcBorders>
            <w:shd w:val="clear" w:color="000000" w:fill="FFFFFF"/>
            <w:vAlign w:val="center"/>
            <w:hideMark/>
          </w:tcPr>
          <w:p w14:paraId="7F0D94AE"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992" w:type="dxa"/>
            <w:vMerge w:val="restart"/>
            <w:tcBorders>
              <w:top w:val="nil"/>
              <w:left w:val="nil"/>
              <w:right w:val="single" w:sz="4" w:space="0" w:color="auto"/>
            </w:tcBorders>
            <w:shd w:val="clear" w:color="000000" w:fill="FFFFFF"/>
            <w:vAlign w:val="center"/>
            <w:hideMark/>
          </w:tcPr>
          <w:p w14:paraId="470DD6AA"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D939CD" w:rsidRPr="00340079" w14:paraId="08FD0FB5" w14:textId="77777777" w:rsidTr="0096617A">
        <w:trPr>
          <w:trHeight w:val="211"/>
        </w:trPr>
        <w:tc>
          <w:tcPr>
            <w:tcW w:w="572" w:type="dxa"/>
            <w:vMerge/>
            <w:tcBorders>
              <w:left w:val="single" w:sz="4" w:space="0" w:color="auto"/>
              <w:bottom w:val="single" w:sz="4" w:space="0" w:color="auto"/>
              <w:right w:val="single" w:sz="4" w:space="0" w:color="auto"/>
            </w:tcBorders>
            <w:shd w:val="clear" w:color="auto" w:fill="auto"/>
            <w:vAlign w:val="center"/>
          </w:tcPr>
          <w:p w14:paraId="62D50759"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6516" w:type="dxa"/>
            <w:tcBorders>
              <w:top w:val="nil"/>
              <w:left w:val="nil"/>
              <w:bottom w:val="single" w:sz="4" w:space="0" w:color="auto"/>
              <w:right w:val="single" w:sz="4" w:space="0" w:color="auto"/>
            </w:tcBorders>
            <w:shd w:val="clear" w:color="auto" w:fill="auto"/>
            <w:vAlign w:val="center"/>
          </w:tcPr>
          <w:p w14:paraId="7EB67B42" w14:textId="20D18A0B" w:rsidR="00D939CD" w:rsidRPr="00D939CD" w:rsidRDefault="00D939CD" w:rsidP="00F7124D">
            <w:pPr>
              <w:spacing w:after="0" w:line="240" w:lineRule="auto"/>
              <w:rPr>
                <w:rFonts w:ascii="Arial" w:eastAsia="Times New Roman" w:hAnsi="Arial" w:cs="Arial"/>
                <w:b/>
                <w:bCs/>
                <w:color w:val="auto"/>
                <w:sz w:val="16"/>
                <w:szCs w:val="14"/>
                <w:u w:val="single"/>
              </w:rPr>
            </w:pPr>
            <w:r w:rsidRPr="00D939CD">
              <w:rPr>
                <w:rFonts w:ascii="Arial" w:eastAsia="Times New Roman" w:hAnsi="Arial" w:cs="Arial"/>
                <w:b/>
                <w:bCs/>
                <w:color w:val="auto"/>
                <w:sz w:val="16"/>
                <w:szCs w:val="14"/>
                <w:u w:val="single"/>
              </w:rPr>
              <w:t>Mantenimiento Preventivo:</w:t>
            </w:r>
          </w:p>
          <w:p w14:paraId="6A898FDB" w14:textId="0B7E1348" w:rsidR="00D939CD" w:rsidRPr="00D939CD" w:rsidRDefault="00D939CD" w:rsidP="00F7124D">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xml:space="preserve">- </w:t>
            </w:r>
            <w:r w:rsidRPr="00D939CD">
              <w:rPr>
                <w:rFonts w:ascii="Arial" w:eastAsia="Times New Roman" w:hAnsi="Arial" w:cs="Arial"/>
                <w:color w:val="auto"/>
                <w:sz w:val="16"/>
                <w:szCs w:val="14"/>
              </w:rPr>
              <w:t>Limpieza general del motor.</w:t>
            </w:r>
          </w:p>
          <w:p w14:paraId="2D3E2074" w14:textId="6B48449C" w:rsidR="00D939CD" w:rsidRPr="00D939CD" w:rsidRDefault="00D939CD" w:rsidP="00F7124D">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Limpieza general de componentes.</w:t>
            </w:r>
          </w:p>
          <w:p w14:paraId="3309B85E" w14:textId="1C1FE31A" w:rsidR="00D939CD" w:rsidRPr="00D939CD" w:rsidRDefault="00D939CD" w:rsidP="00F7124D">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dispositivos de control de combustible.</w:t>
            </w:r>
          </w:p>
          <w:p w14:paraId="7AFD65EF" w14:textId="0E582E0C" w:rsidR="00D939CD" w:rsidRPr="00D939CD" w:rsidRDefault="00D939CD" w:rsidP="00F7124D">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Cambio de aceite y filtros de aceite de motor.</w:t>
            </w:r>
          </w:p>
          <w:p w14:paraId="372D5CB5" w14:textId="67EB2E6A" w:rsidR="00D939CD" w:rsidRPr="00D939CD" w:rsidRDefault="00D939CD" w:rsidP="00F7124D">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cambio de filtros de aire de ser necesario.</w:t>
            </w:r>
          </w:p>
          <w:p w14:paraId="587F088A" w14:textId="44609138" w:rsidR="00D939CD" w:rsidRPr="00D939CD" w:rsidRDefault="00D939CD" w:rsidP="00F7124D">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Evaluación de los parámetros y condiciones de operación de los grupos.</w:t>
            </w:r>
          </w:p>
          <w:p w14:paraId="2FA1B784" w14:textId="47AFDCB9" w:rsidR="00D939CD" w:rsidRPr="00D939CD" w:rsidRDefault="00D939CD" w:rsidP="00F7124D">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Comprobación de mecanismo de control de combustible</w:t>
            </w:r>
          </w:p>
          <w:p w14:paraId="1D7BB1E6" w14:textId="40B374B5" w:rsidR="00D939CD" w:rsidRPr="00D939CD" w:rsidRDefault="00D939CD" w:rsidP="00F7124D">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Evaluación del turbo en operación.</w:t>
            </w:r>
          </w:p>
          <w:p w14:paraId="05E1541A" w14:textId="3F9112E1" w:rsidR="00D939CD" w:rsidRPr="00D939CD" w:rsidRDefault="00D939CD" w:rsidP="00F7124D">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Calibración de válvulas (solo en caso de requerirse según diagnostico).</w:t>
            </w:r>
          </w:p>
          <w:p w14:paraId="0DCFE33A" w14:textId="3B8E1463" w:rsidR="00D939CD" w:rsidRPr="00D939CD" w:rsidRDefault="00D939CD" w:rsidP="00F7124D">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Sincronización de inyectores (solo en caso de requerirse según diagnostico).</w:t>
            </w:r>
          </w:p>
          <w:p w14:paraId="4DFCC220" w14:textId="54B0DADA" w:rsidR="00D939CD" w:rsidRPr="00D939CD" w:rsidRDefault="00D939CD" w:rsidP="00F7124D">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funcionamiento de bombas de agua, bombas de aceite, bombas de combustible.</w:t>
            </w:r>
          </w:p>
          <w:p w14:paraId="2665CADE" w14:textId="1FC8C293" w:rsidR="00D939CD" w:rsidRPr="00D939CD" w:rsidRDefault="00D939CD" w:rsidP="00F7124D">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Lavado de tanque de combustible (caso de requerirse según diagnostico).</w:t>
            </w:r>
          </w:p>
          <w:p w14:paraId="50D8C154" w14:textId="73DD5206" w:rsidR="00D939CD" w:rsidRPr="00D939CD" w:rsidRDefault="00D939CD" w:rsidP="00F7124D">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carga del generador/alternador.</w:t>
            </w:r>
          </w:p>
          <w:p w14:paraId="3BDDD420" w14:textId="0CA09B1B" w:rsidR="00D939CD" w:rsidRPr="00D939CD" w:rsidRDefault="00D939CD" w:rsidP="00F7124D">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pruebas de funcionamiento del equipo.</w:t>
            </w:r>
          </w:p>
          <w:p w14:paraId="00171E88" w14:textId="086B1615" w:rsidR="00D939CD" w:rsidRPr="00D939CD" w:rsidRDefault="00D939CD" w:rsidP="00F7124D">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estado y pruebas del sistema de suspensión, dirección, y frenos.</w:t>
            </w:r>
          </w:p>
          <w:p w14:paraId="615865BA" w14:textId="0F3ACABF" w:rsidR="00D939CD" w:rsidRPr="00D939CD" w:rsidRDefault="00D939CD" w:rsidP="00F7124D">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pruebas del sistema eléctrico (encendido, alumbrado, direccionales, etc.).</w:t>
            </w:r>
          </w:p>
          <w:p w14:paraId="0F8FAFCE" w14:textId="77777777" w:rsidR="00D939CD" w:rsidRPr="00D939CD" w:rsidRDefault="00D939CD" w:rsidP="00F7124D">
            <w:pPr>
              <w:spacing w:after="0" w:line="240" w:lineRule="auto"/>
              <w:rPr>
                <w:rFonts w:ascii="Arial" w:eastAsia="Times New Roman" w:hAnsi="Arial" w:cs="Arial"/>
                <w:color w:val="auto"/>
                <w:sz w:val="16"/>
                <w:szCs w:val="14"/>
                <w:u w:val="single"/>
              </w:rPr>
            </w:pPr>
            <w:r w:rsidRPr="00D939CD">
              <w:rPr>
                <w:rFonts w:ascii="Arial" w:eastAsia="Times New Roman" w:hAnsi="Arial" w:cs="Arial"/>
                <w:color w:val="auto"/>
                <w:sz w:val="16"/>
                <w:szCs w:val="14"/>
              </w:rPr>
              <w:t>- Verificación del estado de los neumáticos.</w:t>
            </w:r>
          </w:p>
          <w:p w14:paraId="19366EAA" w14:textId="77777777" w:rsidR="00D939CD" w:rsidRPr="00D939CD" w:rsidRDefault="00D939CD" w:rsidP="00D761FA">
            <w:pPr>
              <w:spacing w:after="0" w:line="240" w:lineRule="auto"/>
              <w:rPr>
                <w:rFonts w:ascii="Arial" w:eastAsia="Times New Roman" w:hAnsi="Arial" w:cs="Arial"/>
                <w:b/>
                <w:bCs/>
                <w:color w:val="auto"/>
                <w:sz w:val="16"/>
                <w:szCs w:val="14"/>
                <w:u w:val="single"/>
              </w:rPr>
            </w:pPr>
            <w:r w:rsidRPr="00D939CD">
              <w:rPr>
                <w:rFonts w:ascii="Arial" w:eastAsia="Times New Roman" w:hAnsi="Arial" w:cs="Arial"/>
                <w:b/>
                <w:bCs/>
                <w:color w:val="auto"/>
                <w:sz w:val="16"/>
                <w:szCs w:val="14"/>
                <w:u w:val="single"/>
              </w:rPr>
              <w:t>Observaciones:</w:t>
            </w:r>
          </w:p>
          <w:p w14:paraId="320FC9E4" w14:textId="5DCF6E5D"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xml:space="preserve">- </w:t>
            </w:r>
            <w:r w:rsidRPr="00D939CD">
              <w:rPr>
                <w:rFonts w:ascii="Arial" w:eastAsia="Times New Roman" w:hAnsi="Arial" w:cs="Arial"/>
                <w:color w:val="auto"/>
                <w:sz w:val="16"/>
                <w:szCs w:val="14"/>
              </w:rPr>
              <w:t>El contratista suministrará el aceite de motor requerido para el equipo de acuerdo con características señaladas en el numeral 4.1.1 de los términos de referencia.</w:t>
            </w:r>
          </w:p>
          <w:p w14:paraId="2187B99A" w14:textId="43C080AA" w:rsidR="00D939CD" w:rsidRPr="00D939CD" w:rsidRDefault="00D939CD" w:rsidP="00D761FA">
            <w:pPr>
              <w:spacing w:after="0" w:line="240" w:lineRule="auto"/>
              <w:rPr>
                <w:rFonts w:ascii="Arial" w:eastAsia="Times New Roman" w:hAnsi="Arial" w:cs="Arial"/>
                <w:color w:val="auto"/>
                <w:sz w:val="16"/>
                <w:szCs w:val="14"/>
                <w:u w:val="single"/>
              </w:rPr>
            </w:pPr>
            <w:r w:rsidRPr="00D939CD">
              <w:rPr>
                <w:rFonts w:ascii="Arial" w:eastAsia="Times New Roman" w:hAnsi="Arial" w:cs="Arial"/>
                <w:color w:val="auto"/>
                <w:sz w:val="16"/>
                <w:szCs w:val="14"/>
              </w:rPr>
              <w:lastRenderedPageBreak/>
              <w:t>-</w:t>
            </w:r>
            <w:r w:rsidRPr="00D939CD">
              <w:rPr>
                <w:rFonts w:ascii="Arial" w:eastAsia="Times New Roman" w:hAnsi="Arial" w:cs="Arial"/>
                <w:color w:val="auto"/>
                <w:sz w:val="16"/>
                <w:szCs w:val="14"/>
              </w:rPr>
              <w:t xml:space="preserve"> </w:t>
            </w:r>
            <w:r w:rsidRPr="00D939CD">
              <w:rPr>
                <w:rFonts w:ascii="Arial" w:eastAsia="Times New Roman" w:hAnsi="Arial" w:cs="Arial"/>
                <w:color w:val="auto"/>
                <w:sz w:val="16"/>
                <w:szCs w:val="14"/>
              </w:rPr>
              <w:t>San Gabán S.A., suministrará los filtros requeridos para la correcta ejecución del servicio.</w:t>
            </w:r>
          </w:p>
        </w:tc>
        <w:tc>
          <w:tcPr>
            <w:tcW w:w="709" w:type="dxa"/>
            <w:vMerge/>
            <w:tcBorders>
              <w:left w:val="nil"/>
              <w:bottom w:val="single" w:sz="4" w:space="0" w:color="auto"/>
              <w:right w:val="single" w:sz="4" w:space="0" w:color="auto"/>
            </w:tcBorders>
            <w:shd w:val="clear" w:color="auto" w:fill="auto"/>
            <w:vAlign w:val="center"/>
          </w:tcPr>
          <w:p w14:paraId="6EE7FB5F" w14:textId="77777777" w:rsidR="00D939CD" w:rsidRPr="00CD3588" w:rsidRDefault="00D939CD" w:rsidP="00E16DEA">
            <w:pPr>
              <w:spacing w:after="0" w:line="240" w:lineRule="auto"/>
              <w:rPr>
                <w:rFonts w:ascii="Arial" w:eastAsia="Times New Roman" w:hAnsi="Arial" w:cs="Arial"/>
                <w:i/>
                <w:iCs/>
                <w:color w:val="auto"/>
                <w:sz w:val="18"/>
                <w:szCs w:val="16"/>
              </w:rPr>
            </w:pPr>
          </w:p>
        </w:tc>
        <w:tc>
          <w:tcPr>
            <w:tcW w:w="959" w:type="dxa"/>
            <w:vMerge/>
            <w:tcBorders>
              <w:left w:val="nil"/>
              <w:bottom w:val="single" w:sz="4" w:space="0" w:color="auto"/>
              <w:right w:val="single" w:sz="4" w:space="0" w:color="auto"/>
            </w:tcBorders>
            <w:shd w:val="clear" w:color="auto" w:fill="auto"/>
            <w:vAlign w:val="center"/>
          </w:tcPr>
          <w:p w14:paraId="54A34EB7"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1025" w:type="dxa"/>
            <w:vMerge/>
            <w:tcBorders>
              <w:left w:val="nil"/>
              <w:bottom w:val="single" w:sz="4" w:space="0" w:color="auto"/>
              <w:right w:val="single" w:sz="4" w:space="0" w:color="auto"/>
            </w:tcBorders>
            <w:shd w:val="clear" w:color="000000" w:fill="FFFFFF"/>
            <w:vAlign w:val="center"/>
          </w:tcPr>
          <w:p w14:paraId="180FAF34"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c>
          <w:tcPr>
            <w:tcW w:w="992" w:type="dxa"/>
            <w:vMerge/>
            <w:tcBorders>
              <w:left w:val="nil"/>
              <w:bottom w:val="single" w:sz="4" w:space="0" w:color="auto"/>
              <w:right w:val="single" w:sz="4" w:space="0" w:color="auto"/>
            </w:tcBorders>
            <w:shd w:val="clear" w:color="000000" w:fill="FFFFFF"/>
            <w:vAlign w:val="center"/>
          </w:tcPr>
          <w:p w14:paraId="2CC126DF"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r>
      <w:tr w:rsidR="00D939CD" w:rsidRPr="00340079" w14:paraId="523412CA" w14:textId="77777777" w:rsidTr="00D939CD">
        <w:trPr>
          <w:trHeight w:val="211"/>
        </w:trPr>
        <w:tc>
          <w:tcPr>
            <w:tcW w:w="572" w:type="dxa"/>
            <w:vMerge w:val="restart"/>
            <w:tcBorders>
              <w:top w:val="nil"/>
              <w:left w:val="single" w:sz="4" w:space="0" w:color="auto"/>
              <w:right w:val="single" w:sz="4" w:space="0" w:color="auto"/>
            </w:tcBorders>
            <w:shd w:val="clear" w:color="auto" w:fill="auto"/>
            <w:vAlign w:val="center"/>
          </w:tcPr>
          <w:p w14:paraId="611CADA1" w14:textId="3E9FBF45" w:rsidR="00D939CD" w:rsidRPr="00CD3588" w:rsidRDefault="00D939CD" w:rsidP="00E16DEA">
            <w:pPr>
              <w:spacing w:after="0" w:line="240" w:lineRule="auto"/>
              <w:jc w:val="center"/>
              <w:rPr>
                <w:rFonts w:ascii="Arial" w:eastAsia="Times New Roman" w:hAnsi="Arial" w:cs="Arial"/>
                <w:i/>
                <w:iCs/>
                <w:color w:val="auto"/>
                <w:sz w:val="18"/>
                <w:szCs w:val="16"/>
              </w:rPr>
            </w:pPr>
            <w:r>
              <w:rPr>
                <w:rFonts w:ascii="Arial" w:eastAsia="Times New Roman" w:hAnsi="Arial" w:cs="Arial"/>
                <w:i/>
                <w:iCs/>
                <w:color w:val="auto"/>
                <w:sz w:val="18"/>
                <w:szCs w:val="16"/>
              </w:rPr>
              <w:t>2</w:t>
            </w:r>
          </w:p>
        </w:tc>
        <w:tc>
          <w:tcPr>
            <w:tcW w:w="6516" w:type="dxa"/>
            <w:tcBorders>
              <w:top w:val="nil"/>
              <w:left w:val="nil"/>
              <w:bottom w:val="single" w:sz="4" w:space="0" w:color="auto"/>
              <w:right w:val="single" w:sz="4" w:space="0" w:color="auto"/>
            </w:tcBorders>
            <w:shd w:val="clear" w:color="auto" w:fill="D9D9D9" w:themeFill="background1" w:themeFillShade="D9"/>
            <w:vAlign w:val="center"/>
          </w:tcPr>
          <w:p w14:paraId="243DEA68" w14:textId="0E657C87" w:rsidR="00D939CD" w:rsidRPr="00D939CD" w:rsidRDefault="00D939CD" w:rsidP="00D761FA">
            <w:pPr>
              <w:spacing w:after="0" w:line="240" w:lineRule="auto"/>
              <w:rPr>
                <w:rFonts w:ascii="Arial" w:eastAsia="Times New Roman" w:hAnsi="Arial" w:cs="Arial"/>
                <w:b/>
                <w:bCs/>
                <w:color w:val="auto"/>
                <w:sz w:val="18"/>
                <w:szCs w:val="16"/>
              </w:rPr>
            </w:pPr>
            <w:r w:rsidRPr="00D939CD">
              <w:rPr>
                <w:rFonts w:ascii="Arial" w:eastAsia="Times New Roman" w:hAnsi="Arial" w:cs="Arial"/>
                <w:b/>
                <w:bCs/>
                <w:color w:val="auto"/>
                <w:sz w:val="18"/>
                <w:szCs w:val="16"/>
              </w:rPr>
              <w:t>MANTENIMIENTO PREVENTIVO DE CARGADOR FRONTAL DAEWOO</w:t>
            </w:r>
          </w:p>
        </w:tc>
        <w:tc>
          <w:tcPr>
            <w:tcW w:w="709" w:type="dxa"/>
            <w:vMerge w:val="restart"/>
            <w:tcBorders>
              <w:top w:val="nil"/>
              <w:left w:val="nil"/>
              <w:right w:val="single" w:sz="4" w:space="0" w:color="auto"/>
            </w:tcBorders>
            <w:shd w:val="clear" w:color="auto" w:fill="auto"/>
            <w:vAlign w:val="center"/>
          </w:tcPr>
          <w:p w14:paraId="7656675A" w14:textId="77777777" w:rsidR="00D939CD" w:rsidRPr="00CD3588" w:rsidRDefault="00D939CD" w:rsidP="00E16DEA">
            <w:pPr>
              <w:spacing w:after="0" w:line="240" w:lineRule="auto"/>
              <w:rPr>
                <w:rFonts w:ascii="Arial" w:eastAsia="Times New Roman" w:hAnsi="Arial" w:cs="Arial"/>
                <w:i/>
                <w:iCs/>
                <w:color w:val="auto"/>
                <w:sz w:val="18"/>
                <w:szCs w:val="16"/>
              </w:rPr>
            </w:pPr>
          </w:p>
        </w:tc>
        <w:tc>
          <w:tcPr>
            <w:tcW w:w="959" w:type="dxa"/>
            <w:vMerge w:val="restart"/>
            <w:tcBorders>
              <w:top w:val="nil"/>
              <w:left w:val="nil"/>
              <w:right w:val="single" w:sz="4" w:space="0" w:color="auto"/>
            </w:tcBorders>
            <w:shd w:val="clear" w:color="auto" w:fill="auto"/>
            <w:vAlign w:val="center"/>
          </w:tcPr>
          <w:p w14:paraId="6BC7E426"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1025" w:type="dxa"/>
            <w:vMerge w:val="restart"/>
            <w:tcBorders>
              <w:top w:val="nil"/>
              <w:left w:val="nil"/>
              <w:right w:val="single" w:sz="4" w:space="0" w:color="auto"/>
            </w:tcBorders>
            <w:shd w:val="clear" w:color="000000" w:fill="FFFFFF"/>
            <w:vAlign w:val="center"/>
          </w:tcPr>
          <w:p w14:paraId="6E887AC4"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c>
          <w:tcPr>
            <w:tcW w:w="992" w:type="dxa"/>
            <w:vMerge w:val="restart"/>
            <w:tcBorders>
              <w:top w:val="nil"/>
              <w:left w:val="nil"/>
              <w:right w:val="single" w:sz="4" w:space="0" w:color="auto"/>
            </w:tcBorders>
            <w:shd w:val="clear" w:color="000000" w:fill="FFFFFF"/>
            <w:vAlign w:val="center"/>
          </w:tcPr>
          <w:p w14:paraId="04DA9FE0"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r>
      <w:tr w:rsidR="00D939CD" w:rsidRPr="00340079" w14:paraId="2784086E" w14:textId="77777777" w:rsidTr="006B5FFB">
        <w:trPr>
          <w:trHeight w:val="211"/>
        </w:trPr>
        <w:tc>
          <w:tcPr>
            <w:tcW w:w="572" w:type="dxa"/>
            <w:vMerge/>
            <w:tcBorders>
              <w:left w:val="single" w:sz="4" w:space="0" w:color="auto"/>
              <w:bottom w:val="single" w:sz="4" w:space="0" w:color="auto"/>
              <w:right w:val="single" w:sz="4" w:space="0" w:color="auto"/>
            </w:tcBorders>
            <w:shd w:val="clear" w:color="auto" w:fill="auto"/>
            <w:vAlign w:val="center"/>
          </w:tcPr>
          <w:p w14:paraId="31B15253"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6516" w:type="dxa"/>
            <w:tcBorders>
              <w:top w:val="nil"/>
              <w:left w:val="nil"/>
              <w:bottom w:val="single" w:sz="4" w:space="0" w:color="auto"/>
              <w:right w:val="single" w:sz="4" w:space="0" w:color="auto"/>
            </w:tcBorders>
            <w:shd w:val="clear" w:color="auto" w:fill="auto"/>
            <w:vAlign w:val="center"/>
          </w:tcPr>
          <w:p w14:paraId="3CE42241" w14:textId="199072DB" w:rsidR="00D939CD" w:rsidRPr="00D939CD" w:rsidRDefault="00D939CD" w:rsidP="00D761FA">
            <w:pPr>
              <w:spacing w:after="0" w:line="240" w:lineRule="auto"/>
              <w:rPr>
                <w:rFonts w:ascii="Arial" w:eastAsia="Times New Roman" w:hAnsi="Arial" w:cs="Arial"/>
                <w:b/>
                <w:bCs/>
                <w:color w:val="auto"/>
                <w:sz w:val="16"/>
                <w:szCs w:val="14"/>
                <w:u w:val="single"/>
              </w:rPr>
            </w:pPr>
            <w:r w:rsidRPr="00D939CD">
              <w:rPr>
                <w:rFonts w:ascii="Arial" w:eastAsia="Times New Roman" w:hAnsi="Arial" w:cs="Arial"/>
                <w:b/>
                <w:bCs/>
                <w:color w:val="auto"/>
                <w:sz w:val="16"/>
                <w:szCs w:val="14"/>
                <w:u w:val="single"/>
              </w:rPr>
              <w:t>Mantenimiento preventivo</w:t>
            </w:r>
            <w:r w:rsidRPr="00D939CD">
              <w:rPr>
                <w:rFonts w:ascii="Arial" w:eastAsia="Times New Roman" w:hAnsi="Arial" w:cs="Arial"/>
                <w:b/>
                <w:bCs/>
                <w:color w:val="auto"/>
                <w:sz w:val="16"/>
                <w:szCs w:val="14"/>
                <w:u w:val="single"/>
              </w:rPr>
              <w:t>:</w:t>
            </w:r>
          </w:p>
          <w:p w14:paraId="1384BE59" w14:textId="5FCA9571"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xml:space="preserve">- </w:t>
            </w:r>
            <w:r w:rsidRPr="00D939CD">
              <w:rPr>
                <w:rFonts w:ascii="Arial" w:eastAsia="Times New Roman" w:hAnsi="Arial" w:cs="Arial"/>
                <w:color w:val="auto"/>
                <w:sz w:val="16"/>
                <w:szCs w:val="14"/>
              </w:rPr>
              <w:t>Limpieza general del motor.</w:t>
            </w:r>
          </w:p>
          <w:p w14:paraId="657F14FE" w14:textId="03AC5F5F"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Limpieza general de componentes.</w:t>
            </w:r>
          </w:p>
          <w:p w14:paraId="7B245134" w14:textId="06D37803"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dispositivos de control de combustible.</w:t>
            </w:r>
          </w:p>
          <w:p w14:paraId="735921C2" w14:textId="79AFBCEA"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Cambio de aceite y filtros de aceite de motor.</w:t>
            </w:r>
          </w:p>
          <w:p w14:paraId="3667ACE4" w14:textId="65EF5531"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cambio de filtros de aire de ser necesario.</w:t>
            </w:r>
          </w:p>
          <w:p w14:paraId="0A631B3D" w14:textId="29A42021"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Evaluación de los parámetros y condiciones de operación de los grupos.</w:t>
            </w:r>
          </w:p>
          <w:p w14:paraId="26C37824" w14:textId="187157F9"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Comprobación de mecanismo de control de combustible</w:t>
            </w:r>
          </w:p>
          <w:p w14:paraId="693712F1" w14:textId="4F48B7F5"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Evaluación del turbo en operación.</w:t>
            </w:r>
          </w:p>
          <w:p w14:paraId="16053835" w14:textId="33C61D4D"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Calibración de válvulas (solo en caso de requerirse según diagnostico).</w:t>
            </w:r>
          </w:p>
          <w:p w14:paraId="6DD62A96" w14:textId="525EF102"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Sincronización de inyectores (solo en caso de requerirse según diagnostico).</w:t>
            </w:r>
          </w:p>
          <w:p w14:paraId="6A195860" w14:textId="1F50B1FF"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funcionamiento de bombas de agua, bombas de aceite, bombas de combustible.</w:t>
            </w:r>
          </w:p>
          <w:p w14:paraId="2F428F12" w14:textId="75C9360F"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Lavado de bomba y tanque de combustible (caso de requerirse según diagnostico).</w:t>
            </w:r>
          </w:p>
          <w:p w14:paraId="2BD1FB45" w14:textId="432BE705"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carga del generador/alternador.</w:t>
            </w:r>
          </w:p>
          <w:p w14:paraId="134E6278" w14:textId="064A712E"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pruebas de funcionamiento del equipo.</w:t>
            </w:r>
          </w:p>
          <w:p w14:paraId="2AC8CA0C" w14:textId="70E49453"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estado y pruebas del sistema de suspensión, dirección, y frenos.</w:t>
            </w:r>
          </w:p>
          <w:p w14:paraId="21A639D2" w14:textId="0C1B3136"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pruebas del sistema eléctrico (encendido, alumbrado, direccionales, etc.).</w:t>
            </w:r>
          </w:p>
          <w:p w14:paraId="76AD2B73" w14:textId="0A3B9E3E"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del estado de los neumáticos.</w:t>
            </w:r>
          </w:p>
          <w:p w14:paraId="06D90ADB" w14:textId="093BD73E" w:rsidR="00D939CD" w:rsidRPr="00D939CD" w:rsidRDefault="00D939CD" w:rsidP="00D761FA">
            <w:pPr>
              <w:pStyle w:val="Default"/>
              <w:rPr>
                <w:rFonts w:eastAsia="Times New Roman"/>
                <w:b/>
                <w:bCs/>
                <w:color w:val="auto"/>
                <w:sz w:val="16"/>
                <w:szCs w:val="14"/>
                <w:u w:val="single"/>
                <w:lang w:eastAsia="es-PE"/>
                <w14:ligatures w14:val="none"/>
              </w:rPr>
            </w:pPr>
            <w:r w:rsidRPr="00D939CD">
              <w:rPr>
                <w:rFonts w:eastAsia="Times New Roman"/>
                <w:b/>
                <w:bCs/>
                <w:color w:val="auto"/>
                <w:sz w:val="16"/>
                <w:szCs w:val="14"/>
                <w:u w:val="single"/>
                <w:lang w:eastAsia="es-PE"/>
                <w14:ligatures w14:val="none"/>
              </w:rPr>
              <w:t>Mantenimiento correctivo</w:t>
            </w:r>
            <w:r w:rsidRPr="00D939CD">
              <w:rPr>
                <w:rFonts w:eastAsia="Times New Roman"/>
                <w:b/>
                <w:bCs/>
                <w:color w:val="auto"/>
                <w:sz w:val="16"/>
                <w:szCs w:val="14"/>
                <w:u w:val="single"/>
                <w:lang w:eastAsia="es-PE"/>
                <w14:ligatures w14:val="none"/>
              </w:rPr>
              <w:t>:</w:t>
            </w:r>
            <w:r w:rsidRPr="00D939CD">
              <w:rPr>
                <w:rFonts w:eastAsia="Times New Roman"/>
                <w:b/>
                <w:bCs/>
                <w:color w:val="auto"/>
                <w:sz w:val="16"/>
                <w:szCs w:val="14"/>
                <w:u w:val="single"/>
                <w:lang w:eastAsia="es-PE"/>
                <w14:ligatures w14:val="none"/>
              </w:rPr>
              <w:t xml:space="preserve"> </w:t>
            </w:r>
          </w:p>
          <w:p w14:paraId="1ADEF95D" w14:textId="2C3257CA"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Cambio de Relé de alimentación de tensión sistema de encendido.</w:t>
            </w:r>
          </w:p>
          <w:p w14:paraId="403B5EFB" w14:textId="77777777" w:rsidR="00D939CD" w:rsidRPr="00D939CD" w:rsidRDefault="00D939CD" w:rsidP="00D761FA">
            <w:pPr>
              <w:spacing w:after="0" w:line="240" w:lineRule="auto"/>
              <w:rPr>
                <w:rFonts w:ascii="Arial" w:eastAsia="Times New Roman" w:hAnsi="Arial" w:cs="Arial"/>
                <w:b/>
                <w:bCs/>
                <w:color w:val="auto"/>
                <w:sz w:val="16"/>
                <w:szCs w:val="14"/>
                <w:u w:val="single"/>
              </w:rPr>
            </w:pPr>
            <w:r w:rsidRPr="00D939CD">
              <w:rPr>
                <w:rFonts w:ascii="Arial" w:eastAsia="Times New Roman" w:hAnsi="Arial" w:cs="Arial"/>
                <w:b/>
                <w:bCs/>
                <w:color w:val="auto"/>
                <w:sz w:val="16"/>
                <w:szCs w:val="14"/>
                <w:u w:val="single"/>
              </w:rPr>
              <w:t>Observaciones:</w:t>
            </w:r>
          </w:p>
          <w:p w14:paraId="5E4C49A5" w14:textId="225E9AC1"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El contratista suministrará el aceite de motor requerido para el equipo de acuerdo con características señaladas en el numeral 4.1.1 de los términos de referencia.</w:t>
            </w:r>
          </w:p>
          <w:p w14:paraId="601CAEED" w14:textId="2263A4B3"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El contratista suministrará los repuestos necesarios para la correcta ejecución del mantenimiento correctivo descrito.</w:t>
            </w:r>
          </w:p>
          <w:p w14:paraId="7AB01018" w14:textId="63B21E8C"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San Gabán S.A., suministrará los filtros requeridos para la correcta ejecución del servicio.</w:t>
            </w:r>
          </w:p>
        </w:tc>
        <w:tc>
          <w:tcPr>
            <w:tcW w:w="709" w:type="dxa"/>
            <w:vMerge/>
            <w:tcBorders>
              <w:left w:val="nil"/>
              <w:bottom w:val="single" w:sz="4" w:space="0" w:color="auto"/>
              <w:right w:val="single" w:sz="4" w:space="0" w:color="auto"/>
            </w:tcBorders>
            <w:shd w:val="clear" w:color="auto" w:fill="auto"/>
            <w:vAlign w:val="center"/>
          </w:tcPr>
          <w:p w14:paraId="4F664FAB" w14:textId="77777777" w:rsidR="00D939CD" w:rsidRPr="00CD3588" w:rsidRDefault="00D939CD" w:rsidP="00E16DEA">
            <w:pPr>
              <w:spacing w:after="0" w:line="240" w:lineRule="auto"/>
              <w:rPr>
                <w:rFonts w:ascii="Arial" w:eastAsia="Times New Roman" w:hAnsi="Arial" w:cs="Arial"/>
                <w:i/>
                <w:iCs/>
                <w:color w:val="auto"/>
                <w:sz w:val="18"/>
                <w:szCs w:val="16"/>
              </w:rPr>
            </w:pPr>
          </w:p>
        </w:tc>
        <w:tc>
          <w:tcPr>
            <w:tcW w:w="959" w:type="dxa"/>
            <w:vMerge/>
            <w:tcBorders>
              <w:left w:val="nil"/>
              <w:bottom w:val="single" w:sz="4" w:space="0" w:color="auto"/>
              <w:right w:val="single" w:sz="4" w:space="0" w:color="auto"/>
            </w:tcBorders>
            <w:shd w:val="clear" w:color="auto" w:fill="auto"/>
            <w:vAlign w:val="center"/>
          </w:tcPr>
          <w:p w14:paraId="230B4324"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1025" w:type="dxa"/>
            <w:vMerge/>
            <w:tcBorders>
              <w:left w:val="nil"/>
              <w:bottom w:val="single" w:sz="4" w:space="0" w:color="auto"/>
              <w:right w:val="single" w:sz="4" w:space="0" w:color="auto"/>
            </w:tcBorders>
            <w:shd w:val="clear" w:color="000000" w:fill="FFFFFF"/>
            <w:vAlign w:val="center"/>
          </w:tcPr>
          <w:p w14:paraId="021B84C3"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c>
          <w:tcPr>
            <w:tcW w:w="992" w:type="dxa"/>
            <w:vMerge/>
            <w:tcBorders>
              <w:left w:val="nil"/>
              <w:bottom w:val="single" w:sz="4" w:space="0" w:color="auto"/>
              <w:right w:val="single" w:sz="4" w:space="0" w:color="auto"/>
            </w:tcBorders>
            <w:shd w:val="clear" w:color="000000" w:fill="FFFFFF"/>
            <w:vAlign w:val="center"/>
          </w:tcPr>
          <w:p w14:paraId="74C0E7A8"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r>
      <w:tr w:rsidR="00D939CD" w:rsidRPr="00340079" w14:paraId="49D587CB" w14:textId="77777777" w:rsidTr="00D939CD">
        <w:trPr>
          <w:trHeight w:val="211"/>
        </w:trPr>
        <w:tc>
          <w:tcPr>
            <w:tcW w:w="572" w:type="dxa"/>
            <w:vMerge w:val="restart"/>
            <w:tcBorders>
              <w:top w:val="nil"/>
              <w:left w:val="single" w:sz="4" w:space="0" w:color="auto"/>
              <w:right w:val="single" w:sz="4" w:space="0" w:color="auto"/>
            </w:tcBorders>
            <w:shd w:val="clear" w:color="auto" w:fill="auto"/>
            <w:vAlign w:val="center"/>
          </w:tcPr>
          <w:p w14:paraId="1B9AF71E" w14:textId="568F005F" w:rsidR="00D939CD" w:rsidRPr="00CD3588" w:rsidRDefault="00D939CD" w:rsidP="00E16DEA">
            <w:pPr>
              <w:spacing w:after="0" w:line="240" w:lineRule="auto"/>
              <w:jc w:val="center"/>
              <w:rPr>
                <w:rFonts w:ascii="Arial" w:eastAsia="Times New Roman" w:hAnsi="Arial" w:cs="Arial"/>
                <w:i/>
                <w:iCs/>
                <w:color w:val="auto"/>
                <w:sz w:val="18"/>
                <w:szCs w:val="16"/>
              </w:rPr>
            </w:pPr>
            <w:r>
              <w:rPr>
                <w:rFonts w:ascii="Arial" w:eastAsia="Times New Roman" w:hAnsi="Arial" w:cs="Arial"/>
                <w:i/>
                <w:iCs/>
                <w:color w:val="auto"/>
                <w:sz w:val="18"/>
                <w:szCs w:val="16"/>
              </w:rPr>
              <w:t>3</w:t>
            </w:r>
          </w:p>
        </w:tc>
        <w:tc>
          <w:tcPr>
            <w:tcW w:w="6516" w:type="dxa"/>
            <w:tcBorders>
              <w:top w:val="nil"/>
              <w:left w:val="nil"/>
              <w:bottom w:val="single" w:sz="4" w:space="0" w:color="auto"/>
              <w:right w:val="single" w:sz="4" w:space="0" w:color="auto"/>
            </w:tcBorders>
            <w:shd w:val="clear" w:color="auto" w:fill="D9D9D9" w:themeFill="background1" w:themeFillShade="D9"/>
            <w:vAlign w:val="center"/>
          </w:tcPr>
          <w:p w14:paraId="2306FCA9" w14:textId="4A0560B5" w:rsidR="00D939CD" w:rsidRPr="00D939CD" w:rsidRDefault="00D939CD" w:rsidP="00D761FA">
            <w:pPr>
              <w:spacing w:after="0" w:line="240" w:lineRule="auto"/>
              <w:rPr>
                <w:rFonts w:ascii="Arial" w:eastAsia="Times New Roman" w:hAnsi="Arial" w:cs="Arial"/>
                <w:color w:val="auto"/>
                <w:sz w:val="18"/>
                <w:szCs w:val="16"/>
              </w:rPr>
            </w:pPr>
            <w:r w:rsidRPr="00D939CD">
              <w:rPr>
                <w:rFonts w:ascii="Arial" w:eastAsia="Times New Roman" w:hAnsi="Arial" w:cs="Arial"/>
                <w:b/>
                <w:bCs/>
                <w:color w:val="auto"/>
                <w:sz w:val="18"/>
                <w:szCs w:val="16"/>
              </w:rPr>
              <w:t>MANTENIMIENTO PREVENTIVO DE CARGADOR HORQUILLA DAEWOO</w:t>
            </w:r>
          </w:p>
        </w:tc>
        <w:tc>
          <w:tcPr>
            <w:tcW w:w="709" w:type="dxa"/>
            <w:vMerge w:val="restart"/>
            <w:tcBorders>
              <w:top w:val="nil"/>
              <w:left w:val="nil"/>
              <w:right w:val="single" w:sz="4" w:space="0" w:color="auto"/>
            </w:tcBorders>
            <w:shd w:val="clear" w:color="auto" w:fill="auto"/>
            <w:vAlign w:val="center"/>
          </w:tcPr>
          <w:p w14:paraId="5E17B32A" w14:textId="77777777" w:rsidR="00D939CD" w:rsidRPr="00CD3588" w:rsidRDefault="00D939CD" w:rsidP="00E16DEA">
            <w:pPr>
              <w:spacing w:after="0" w:line="240" w:lineRule="auto"/>
              <w:rPr>
                <w:rFonts w:ascii="Arial" w:eastAsia="Times New Roman" w:hAnsi="Arial" w:cs="Arial"/>
                <w:i/>
                <w:iCs/>
                <w:color w:val="auto"/>
                <w:sz w:val="18"/>
                <w:szCs w:val="16"/>
              </w:rPr>
            </w:pPr>
          </w:p>
        </w:tc>
        <w:tc>
          <w:tcPr>
            <w:tcW w:w="959" w:type="dxa"/>
            <w:vMerge w:val="restart"/>
            <w:tcBorders>
              <w:top w:val="nil"/>
              <w:left w:val="nil"/>
              <w:right w:val="single" w:sz="4" w:space="0" w:color="auto"/>
            </w:tcBorders>
            <w:shd w:val="clear" w:color="auto" w:fill="auto"/>
            <w:vAlign w:val="center"/>
          </w:tcPr>
          <w:p w14:paraId="4E412EF2"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1025" w:type="dxa"/>
            <w:vMerge w:val="restart"/>
            <w:tcBorders>
              <w:top w:val="nil"/>
              <w:left w:val="nil"/>
              <w:right w:val="single" w:sz="4" w:space="0" w:color="auto"/>
            </w:tcBorders>
            <w:shd w:val="clear" w:color="000000" w:fill="FFFFFF"/>
            <w:vAlign w:val="center"/>
          </w:tcPr>
          <w:p w14:paraId="35B2C7D7"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c>
          <w:tcPr>
            <w:tcW w:w="992" w:type="dxa"/>
            <w:vMerge w:val="restart"/>
            <w:tcBorders>
              <w:top w:val="nil"/>
              <w:left w:val="nil"/>
              <w:right w:val="single" w:sz="4" w:space="0" w:color="auto"/>
            </w:tcBorders>
            <w:shd w:val="clear" w:color="000000" w:fill="FFFFFF"/>
            <w:vAlign w:val="center"/>
          </w:tcPr>
          <w:p w14:paraId="26A9595A"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r>
      <w:tr w:rsidR="00D939CD" w:rsidRPr="00340079" w14:paraId="79E7209D" w14:textId="77777777" w:rsidTr="00AC42B3">
        <w:trPr>
          <w:trHeight w:val="211"/>
        </w:trPr>
        <w:tc>
          <w:tcPr>
            <w:tcW w:w="572" w:type="dxa"/>
            <w:vMerge/>
            <w:tcBorders>
              <w:left w:val="single" w:sz="4" w:space="0" w:color="auto"/>
              <w:bottom w:val="single" w:sz="4" w:space="0" w:color="auto"/>
              <w:right w:val="single" w:sz="4" w:space="0" w:color="auto"/>
            </w:tcBorders>
            <w:shd w:val="clear" w:color="auto" w:fill="auto"/>
            <w:vAlign w:val="center"/>
          </w:tcPr>
          <w:p w14:paraId="1B13B9CB"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6516" w:type="dxa"/>
            <w:tcBorders>
              <w:top w:val="nil"/>
              <w:left w:val="nil"/>
              <w:bottom w:val="single" w:sz="4" w:space="0" w:color="auto"/>
              <w:right w:val="single" w:sz="4" w:space="0" w:color="auto"/>
            </w:tcBorders>
            <w:shd w:val="clear" w:color="auto" w:fill="auto"/>
            <w:vAlign w:val="center"/>
          </w:tcPr>
          <w:p w14:paraId="03C859E6" w14:textId="0EC6C574" w:rsidR="00D939CD" w:rsidRPr="00D939CD" w:rsidRDefault="00D939CD" w:rsidP="00D761FA">
            <w:pPr>
              <w:spacing w:after="0" w:line="240" w:lineRule="auto"/>
              <w:rPr>
                <w:rFonts w:ascii="Arial" w:eastAsia="Times New Roman" w:hAnsi="Arial" w:cs="Arial"/>
                <w:b/>
                <w:bCs/>
                <w:color w:val="auto"/>
                <w:sz w:val="16"/>
                <w:szCs w:val="14"/>
                <w:u w:val="single"/>
              </w:rPr>
            </w:pPr>
            <w:r w:rsidRPr="00D939CD">
              <w:rPr>
                <w:rFonts w:ascii="Arial" w:eastAsia="Times New Roman" w:hAnsi="Arial" w:cs="Arial"/>
                <w:b/>
                <w:bCs/>
                <w:color w:val="auto"/>
                <w:sz w:val="16"/>
                <w:szCs w:val="14"/>
                <w:u w:val="single"/>
              </w:rPr>
              <w:t>Mantenimiento preventivo</w:t>
            </w:r>
            <w:r w:rsidRPr="00D939CD">
              <w:rPr>
                <w:rFonts w:ascii="Arial" w:eastAsia="Times New Roman" w:hAnsi="Arial" w:cs="Arial"/>
                <w:b/>
                <w:bCs/>
                <w:color w:val="auto"/>
                <w:sz w:val="16"/>
                <w:szCs w:val="14"/>
                <w:u w:val="single"/>
              </w:rPr>
              <w:t>:</w:t>
            </w:r>
          </w:p>
          <w:p w14:paraId="412E298A" w14:textId="48C49834"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xml:space="preserve">- </w:t>
            </w:r>
            <w:r w:rsidRPr="00D939CD">
              <w:rPr>
                <w:rFonts w:ascii="Arial" w:eastAsia="Times New Roman" w:hAnsi="Arial" w:cs="Arial"/>
                <w:color w:val="auto"/>
                <w:sz w:val="16"/>
                <w:szCs w:val="14"/>
              </w:rPr>
              <w:t>Limpieza general del motor.</w:t>
            </w:r>
          </w:p>
          <w:p w14:paraId="22FC6E83" w14:textId="5E222147"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Limpieza general de componentes.</w:t>
            </w:r>
          </w:p>
          <w:p w14:paraId="29E2FC34" w14:textId="525DDE53"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dispositivos de control de combustible.</w:t>
            </w:r>
          </w:p>
          <w:p w14:paraId="7A1C8BF1" w14:textId="4CA830FF"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Cambio de aceite y filtros de aceite de motor.</w:t>
            </w:r>
          </w:p>
          <w:p w14:paraId="6F573E46" w14:textId="2DF6AD41"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cambio de filtros de aire de ser necesario.</w:t>
            </w:r>
          </w:p>
          <w:p w14:paraId="0236F592" w14:textId="0FDE47B7"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Evaluación de los parámetros y condiciones de operación de los grupos.</w:t>
            </w:r>
          </w:p>
          <w:p w14:paraId="32AFF1A3" w14:textId="3239FE88"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Comprobación de mecanismo de control de combustible</w:t>
            </w:r>
          </w:p>
          <w:p w14:paraId="7C5C6B0C" w14:textId="71CC6438"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Evaluación del turbo en operación.</w:t>
            </w:r>
          </w:p>
          <w:p w14:paraId="57F6028A" w14:textId="0796D87D"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Calibración de válvulas (solo en caso de requerirse según diagnostico).</w:t>
            </w:r>
          </w:p>
          <w:p w14:paraId="1D28B4D0" w14:textId="61760FEB"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Sincronización de inyectores (solo en caso de requerirse según diagnostico).</w:t>
            </w:r>
          </w:p>
          <w:p w14:paraId="3C7896B8" w14:textId="38D77965"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funcionamiento de bombas de agua, bombas de aceite, bombas de combustible.</w:t>
            </w:r>
          </w:p>
          <w:p w14:paraId="60B7F65F" w14:textId="3230ACD9"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Lavado de tanque de combustible (caso de requerirse según diagnostico).</w:t>
            </w:r>
          </w:p>
          <w:p w14:paraId="451DE88A" w14:textId="51A13303"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carga del generador/alternador.</w:t>
            </w:r>
          </w:p>
          <w:p w14:paraId="602AA0C4" w14:textId="0E357EBF"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pruebas de funcionamiento del equipo.</w:t>
            </w:r>
          </w:p>
          <w:p w14:paraId="1B38A138" w14:textId="3B2814B0"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estado y pruebas del sistema de suspensión, dirección, y frenos.</w:t>
            </w:r>
          </w:p>
          <w:p w14:paraId="5FF7D4F1" w14:textId="4D2F66E0"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pruebas del sistema eléctrico (encendido, alumbrado, direccionales, etc.).</w:t>
            </w:r>
          </w:p>
          <w:p w14:paraId="788B9E68" w14:textId="7BB5B1E2"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del estado de los neumáticos.</w:t>
            </w:r>
          </w:p>
          <w:p w14:paraId="36ADDCCA" w14:textId="77777777" w:rsidR="00D939CD" w:rsidRPr="00D939CD" w:rsidRDefault="00D939CD" w:rsidP="00D761FA">
            <w:pPr>
              <w:spacing w:after="0" w:line="240" w:lineRule="auto"/>
              <w:rPr>
                <w:rFonts w:ascii="Arial" w:eastAsia="Times New Roman" w:hAnsi="Arial" w:cs="Arial"/>
                <w:b/>
                <w:bCs/>
                <w:color w:val="auto"/>
                <w:sz w:val="16"/>
                <w:szCs w:val="14"/>
                <w:u w:val="single"/>
              </w:rPr>
            </w:pPr>
            <w:r w:rsidRPr="00D939CD">
              <w:rPr>
                <w:rFonts w:ascii="Arial" w:eastAsia="Times New Roman" w:hAnsi="Arial" w:cs="Arial"/>
                <w:b/>
                <w:bCs/>
                <w:color w:val="auto"/>
                <w:sz w:val="16"/>
                <w:szCs w:val="14"/>
                <w:u w:val="single"/>
              </w:rPr>
              <w:t>Observaciones:</w:t>
            </w:r>
          </w:p>
          <w:p w14:paraId="4B0B80A0" w14:textId="24CC2F54" w:rsidR="00D939CD" w:rsidRPr="00D939CD" w:rsidRDefault="00D939CD" w:rsidP="00D761FA">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El contratista suministrará el aceite de motor requerido para el equipo de acuerdo con características señaladas en el numeral 4.1.1 de los términos de referencia.</w:t>
            </w:r>
          </w:p>
          <w:p w14:paraId="5ECB605C" w14:textId="616A4A7C" w:rsidR="00D939CD" w:rsidRPr="00D939CD" w:rsidRDefault="00D939CD" w:rsidP="00D761FA">
            <w:pPr>
              <w:spacing w:after="0" w:line="240" w:lineRule="auto"/>
              <w:rPr>
                <w:rFonts w:ascii="Arial" w:eastAsia="Times New Roman" w:hAnsi="Arial" w:cs="Arial"/>
                <w:color w:val="auto"/>
                <w:sz w:val="18"/>
                <w:szCs w:val="16"/>
              </w:rPr>
            </w:pPr>
            <w:r w:rsidRPr="00D939CD">
              <w:rPr>
                <w:rFonts w:ascii="Arial" w:eastAsia="Times New Roman" w:hAnsi="Arial" w:cs="Arial"/>
                <w:color w:val="auto"/>
                <w:sz w:val="16"/>
                <w:szCs w:val="14"/>
              </w:rPr>
              <w:t>- San Gabán suministrará los filtros requeridos para la correcta ejecución del servicio.</w:t>
            </w:r>
          </w:p>
        </w:tc>
        <w:tc>
          <w:tcPr>
            <w:tcW w:w="709" w:type="dxa"/>
            <w:vMerge/>
            <w:tcBorders>
              <w:left w:val="nil"/>
              <w:bottom w:val="single" w:sz="4" w:space="0" w:color="auto"/>
              <w:right w:val="single" w:sz="4" w:space="0" w:color="auto"/>
            </w:tcBorders>
            <w:shd w:val="clear" w:color="auto" w:fill="auto"/>
            <w:vAlign w:val="center"/>
          </w:tcPr>
          <w:p w14:paraId="3B3C8B6E" w14:textId="77777777" w:rsidR="00D939CD" w:rsidRPr="00CD3588" w:rsidRDefault="00D939CD" w:rsidP="00E16DEA">
            <w:pPr>
              <w:spacing w:after="0" w:line="240" w:lineRule="auto"/>
              <w:rPr>
                <w:rFonts w:ascii="Arial" w:eastAsia="Times New Roman" w:hAnsi="Arial" w:cs="Arial"/>
                <w:i/>
                <w:iCs/>
                <w:color w:val="auto"/>
                <w:sz w:val="18"/>
                <w:szCs w:val="16"/>
              </w:rPr>
            </w:pPr>
          </w:p>
        </w:tc>
        <w:tc>
          <w:tcPr>
            <w:tcW w:w="959" w:type="dxa"/>
            <w:vMerge/>
            <w:tcBorders>
              <w:left w:val="nil"/>
              <w:bottom w:val="single" w:sz="4" w:space="0" w:color="auto"/>
              <w:right w:val="single" w:sz="4" w:space="0" w:color="auto"/>
            </w:tcBorders>
            <w:shd w:val="clear" w:color="auto" w:fill="auto"/>
            <w:vAlign w:val="center"/>
          </w:tcPr>
          <w:p w14:paraId="1CBDC4EB"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1025" w:type="dxa"/>
            <w:vMerge/>
            <w:tcBorders>
              <w:left w:val="nil"/>
              <w:bottom w:val="single" w:sz="4" w:space="0" w:color="auto"/>
              <w:right w:val="single" w:sz="4" w:space="0" w:color="auto"/>
            </w:tcBorders>
            <w:shd w:val="clear" w:color="000000" w:fill="FFFFFF"/>
            <w:vAlign w:val="center"/>
          </w:tcPr>
          <w:p w14:paraId="37382990"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c>
          <w:tcPr>
            <w:tcW w:w="992" w:type="dxa"/>
            <w:vMerge/>
            <w:tcBorders>
              <w:left w:val="nil"/>
              <w:bottom w:val="single" w:sz="4" w:space="0" w:color="auto"/>
              <w:right w:val="single" w:sz="4" w:space="0" w:color="auto"/>
            </w:tcBorders>
            <w:shd w:val="clear" w:color="000000" w:fill="FFFFFF"/>
            <w:vAlign w:val="center"/>
          </w:tcPr>
          <w:p w14:paraId="009F4A04"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r>
      <w:tr w:rsidR="00D939CD" w:rsidRPr="00340079" w14:paraId="5FF9ACDB" w14:textId="77777777" w:rsidTr="00D939CD">
        <w:trPr>
          <w:trHeight w:val="211"/>
        </w:trPr>
        <w:tc>
          <w:tcPr>
            <w:tcW w:w="572" w:type="dxa"/>
            <w:vMerge w:val="restart"/>
            <w:tcBorders>
              <w:top w:val="nil"/>
              <w:left w:val="single" w:sz="4" w:space="0" w:color="auto"/>
              <w:right w:val="single" w:sz="4" w:space="0" w:color="auto"/>
            </w:tcBorders>
            <w:shd w:val="clear" w:color="auto" w:fill="auto"/>
            <w:vAlign w:val="center"/>
          </w:tcPr>
          <w:p w14:paraId="4C91B710" w14:textId="4E714B06" w:rsidR="00D939CD" w:rsidRPr="00CD3588" w:rsidRDefault="00D939CD" w:rsidP="00E16DEA">
            <w:pPr>
              <w:spacing w:after="0" w:line="240" w:lineRule="auto"/>
              <w:jc w:val="center"/>
              <w:rPr>
                <w:rFonts w:ascii="Arial" w:eastAsia="Times New Roman" w:hAnsi="Arial" w:cs="Arial"/>
                <w:i/>
                <w:iCs/>
                <w:color w:val="auto"/>
                <w:sz w:val="18"/>
                <w:szCs w:val="16"/>
              </w:rPr>
            </w:pPr>
            <w:r>
              <w:rPr>
                <w:rFonts w:ascii="Arial" w:eastAsia="Times New Roman" w:hAnsi="Arial" w:cs="Arial"/>
                <w:i/>
                <w:iCs/>
                <w:color w:val="auto"/>
                <w:sz w:val="18"/>
                <w:szCs w:val="16"/>
              </w:rPr>
              <w:t>4</w:t>
            </w:r>
          </w:p>
        </w:tc>
        <w:tc>
          <w:tcPr>
            <w:tcW w:w="6516" w:type="dxa"/>
            <w:tcBorders>
              <w:top w:val="nil"/>
              <w:left w:val="nil"/>
              <w:bottom w:val="single" w:sz="4" w:space="0" w:color="auto"/>
              <w:right w:val="single" w:sz="4" w:space="0" w:color="auto"/>
            </w:tcBorders>
            <w:shd w:val="clear" w:color="auto" w:fill="D9D9D9" w:themeFill="background1" w:themeFillShade="D9"/>
            <w:vAlign w:val="center"/>
          </w:tcPr>
          <w:p w14:paraId="0D28B32A" w14:textId="482B6392" w:rsidR="00D939CD" w:rsidRPr="00D939CD" w:rsidRDefault="00D939CD" w:rsidP="00146010">
            <w:pPr>
              <w:spacing w:after="0" w:line="240" w:lineRule="auto"/>
              <w:rPr>
                <w:rFonts w:ascii="Arial" w:eastAsia="Times New Roman" w:hAnsi="Arial" w:cs="Arial"/>
                <w:b/>
                <w:bCs/>
                <w:color w:val="auto"/>
                <w:sz w:val="18"/>
                <w:szCs w:val="16"/>
              </w:rPr>
            </w:pPr>
            <w:r w:rsidRPr="00D939CD">
              <w:rPr>
                <w:rFonts w:ascii="Arial" w:eastAsia="Times New Roman" w:hAnsi="Arial" w:cs="Arial"/>
                <w:b/>
                <w:bCs/>
                <w:color w:val="auto"/>
                <w:sz w:val="18"/>
                <w:szCs w:val="16"/>
              </w:rPr>
              <w:t>MANTENIMIENTO PREVENTIVO DE CARGADOR HORQUILLA CAT</w:t>
            </w:r>
          </w:p>
        </w:tc>
        <w:tc>
          <w:tcPr>
            <w:tcW w:w="709" w:type="dxa"/>
            <w:vMerge w:val="restart"/>
            <w:tcBorders>
              <w:top w:val="nil"/>
              <w:left w:val="nil"/>
              <w:right w:val="single" w:sz="4" w:space="0" w:color="auto"/>
            </w:tcBorders>
            <w:shd w:val="clear" w:color="auto" w:fill="auto"/>
            <w:vAlign w:val="center"/>
          </w:tcPr>
          <w:p w14:paraId="6D6DF745" w14:textId="77777777" w:rsidR="00D939CD" w:rsidRPr="00CD3588" w:rsidRDefault="00D939CD" w:rsidP="00E16DEA">
            <w:pPr>
              <w:spacing w:after="0" w:line="240" w:lineRule="auto"/>
              <w:rPr>
                <w:rFonts w:ascii="Arial" w:eastAsia="Times New Roman" w:hAnsi="Arial" w:cs="Arial"/>
                <w:i/>
                <w:iCs/>
                <w:color w:val="auto"/>
                <w:sz w:val="18"/>
                <w:szCs w:val="16"/>
              </w:rPr>
            </w:pPr>
          </w:p>
        </w:tc>
        <w:tc>
          <w:tcPr>
            <w:tcW w:w="959" w:type="dxa"/>
            <w:vMerge w:val="restart"/>
            <w:tcBorders>
              <w:top w:val="nil"/>
              <w:left w:val="nil"/>
              <w:right w:val="single" w:sz="4" w:space="0" w:color="auto"/>
            </w:tcBorders>
            <w:shd w:val="clear" w:color="auto" w:fill="auto"/>
            <w:vAlign w:val="center"/>
          </w:tcPr>
          <w:p w14:paraId="2EB407EE"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1025" w:type="dxa"/>
            <w:vMerge w:val="restart"/>
            <w:tcBorders>
              <w:top w:val="nil"/>
              <w:left w:val="nil"/>
              <w:right w:val="single" w:sz="4" w:space="0" w:color="auto"/>
            </w:tcBorders>
            <w:shd w:val="clear" w:color="000000" w:fill="FFFFFF"/>
            <w:vAlign w:val="center"/>
          </w:tcPr>
          <w:p w14:paraId="4BA104A9"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c>
          <w:tcPr>
            <w:tcW w:w="992" w:type="dxa"/>
            <w:vMerge w:val="restart"/>
            <w:tcBorders>
              <w:top w:val="nil"/>
              <w:left w:val="nil"/>
              <w:right w:val="single" w:sz="4" w:space="0" w:color="auto"/>
            </w:tcBorders>
            <w:shd w:val="clear" w:color="000000" w:fill="FFFFFF"/>
            <w:vAlign w:val="center"/>
          </w:tcPr>
          <w:p w14:paraId="7B3CA101"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r>
      <w:tr w:rsidR="00D939CD" w:rsidRPr="00340079" w14:paraId="494BAC0F" w14:textId="77777777" w:rsidTr="008F1CAB">
        <w:trPr>
          <w:trHeight w:val="211"/>
        </w:trPr>
        <w:tc>
          <w:tcPr>
            <w:tcW w:w="572" w:type="dxa"/>
            <w:vMerge/>
            <w:tcBorders>
              <w:left w:val="single" w:sz="4" w:space="0" w:color="auto"/>
              <w:bottom w:val="single" w:sz="4" w:space="0" w:color="auto"/>
              <w:right w:val="single" w:sz="4" w:space="0" w:color="auto"/>
            </w:tcBorders>
            <w:shd w:val="clear" w:color="auto" w:fill="auto"/>
            <w:vAlign w:val="center"/>
          </w:tcPr>
          <w:p w14:paraId="6E7F221A"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6516" w:type="dxa"/>
            <w:tcBorders>
              <w:top w:val="nil"/>
              <w:left w:val="nil"/>
              <w:bottom w:val="single" w:sz="4" w:space="0" w:color="auto"/>
              <w:right w:val="single" w:sz="4" w:space="0" w:color="auto"/>
            </w:tcBorders>
            <w:shd w:val="clear" w:color="auto" w:fill="auto"/>
            <w:vAlign w:val="center"/>
          </w:tcPr>
          <w:p w14:paraId="54E05C69" w14:textId="184BAEC1" w:rsidR="00D939CD" w:rsidRPr="00D939CD" w:rsidRDefault="00D939CD" w:rsidP="00146010">
            <w:pPr>
              <w:spacing w:after="0" w:line="240" w:lineRule="auto"/>
              <w:rPr>
                <w:rFonts w:ascii="Arial" w:eastAsia="Times New Roman" w:hAnsi="Arial" w:cs="Arial"/>
                <w:b/>
                <w:bCs/>
                <w:color w:val="auto"/>
                <w:sz w:val="16"/>
                <w:szCs w:val="14"/>
                <w:u w:val="single"/>
              </w:rPr>
            </w:pPr>
            <w:r w:rsidRPr="00D939CD">
              <w:rPr>
                <w:rFonts w:ascii="Arial" w:eastAsia="Times New Roman" w:hAnsi="Arial" w:cs="Arial"/>
                <w:b/>
                <w:bCs/>
                <w:color w:val="auto"/>
                <w:sz w:val="16"/>
                <w:szCs w:val="14"/>
                <w:u w:val="single"/>
              </w:rPr>
              <w:t>Mantenimiento preventivo</w:t>
            </w:r>
            <w:r w:rsidRPr="00D939CD">
              <w:rPr>
                <w:rFonts w:ascii="Arial" w:eastAsia="Times New Roman" w:hAnsi="Arial" w:cs="Arial"/>
                <w:b/>
                <w:bCs/>
                <w:color w:val="auto"/>
                <w:sz w:val="16"/>
                <w:szCs w:val="14"/>
                <w:u w:val="single"/>
              </w:rPr>
              <w:t>:</w:t>
            </w:r>
          </w:p>
          <w:p w14:paraId="6CA93C34" w14:textId="73F3378A"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Limpieza general del motor.</w:t>
            </w:r>
          </w:p>
          <w:p w14:paraId="0CE3D15E" w14:textId="54A69A46"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Limpieza general de componentes.</w:t>
            </w:r>
          </w:p>
          <w:p w14:paraId="2D2F864E" w14:textId="16795410"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dispositivos de control de combustible.</w:t>
            </w:r>
          </w:p>
          <w:p w14:paraId="22394234" w14:textId="479A9B1D"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Cambio de aceite y filtros de aceite de motor.</w:t>
            </w:r>
          </w:p>
          <w:p w14:paraId="5FD2959A" w14:textId="113D954F"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cambio de filtros de aire de ser necesario.</w:t>
            </w:r>
          </w:p>
          <w:p w14:paraId="2EA0C575" w14:textId="0295AF26"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Evaluación de los parámetros y condiciones de operación de los grupos.</w:t>
            </w:r>
          </w:p>
          <w:p w14:paraId="3CCC11A3" w14:textId="436D082A"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Comprobación de mecanismo de control de combustible</w:t>
            </w:r>
          </w:p>
          <w:p w14:paraId="14266C0C" w14:textId="48DF186A"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Evaluación del turbo en operación.</w:t>
            </w:r>
          </w:p>
          <w:p w14:paraId="0308E8D7" w14:textId="31B86D3B"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Calibración de válvulas (solo en caso de requerirse según diagnostico).</w:t>
            </w:r>
          </w:p>
          <w:p w14:paraId="760080E7" w14:textId="0B43384B"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Sincronización de inyectores (solo en caso de requerirse según diagnostico).</w:t>
            </w:r>
          </w:p>
          <w:p w14:paraId="10ADE8E9" w14:textId="2CD35024"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funcionamiento de bombas de agua, bombas de aceite, bombas de combustible.</w:t>
            </w:r>
          </w:p>
          <w:p w14:paraId="21F2A172" w14:textId="41B64613"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Lavado de tanque de combustible (caso de requerirse según diagnostico).</w:t>
            </w:r>
          </w:p>
          <w:p w14:paraId="4892478D" w14:textId="08AB2E4F"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carga del generador/alternador.</w:t>
            </w:r>
          </w:p>
          <w:p w14:paraId="74332261" w14:textId="2A1C334A"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pruebas de funcionamiento del equipo.</w:t>
            </w:r>
          </w:p>
          <w:p w14:paraId="61501EDA" w14:textId="16E86644"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estado y pruebas del sistema de suspensión, dirección, y frenos.</w:t>
            </w:r>
          </w:p>
          <w:p w14:paraId="2FE6C177" w14:textId="3F461AF8"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pruebas del sistema eléctrico (encendido, alumbrado, direccionales, etc.).</w:t>
            </w:r>
          </w:p>
          <w:p w14:paraId="251CC7E8" w14:textId="7F8576C1"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del estado de los neumáticos.</w:t>
            </w:r>
            <w:r w:rsidRPr="00D939CD">
              <w:rPr>
                <w:rFonts w:ascii="Arial" w:eastAsia="Times New Roman" w:hAnsi="Arial" w:cs="Arial"/>
                <w:color w:val="auto"/>
                <w:sz w:val="16"/>
                <w:szCs w:val="14"/>
              </w:rPr>
              <w:t xml:space="preserve"> </w:t>
            </w:r>
          </w:p>
          <w:p w14:paraId="171E40EC" w14:textId="05F50DBD" w:rsidR="00D939CD" w:rsidRPr="00D939CD" w:rsidRDefault="00D939CD" w:rsidP="00146010">
            <w:pPr>
              <w:spacing w:after="0" w:line="240" w:lineRule="auto"/>
              <w:rPr>
                <w:rFonts w:ascii="Arial" w:eastAsia="Times New Roman" w:hAnsi="Arial" w:cs="Arial"/>
                <w:b/>
                <w:bCs/>
                <w:color w:val="auto"/>
                <w:sz w:val="16"/>
                <w:szCs w:val="14"/>
                <w:u w:val="single"/>
              </w:rPr>
            </w:pPr>
            <w:r w:rsidRPr="00D939CD">
              <w:rPr>
                <w:rFonts w:ascii="Arial" w:eastAsia="Times New Roman" w:hAnsi="Arial" w:cs="Arial"/>
                <w:b/>
                <w:bCs/>
                <w:color w:val="auto"/>
                <w:sz w:val="16"/>
                <w:szCs w:val="14"/>
                <w:u w:val="single"/>
              </w:rPr>
              <w:lastRenderedPageBreak/>
              <w:t>Observaciones:</w:t>
            </w:r>
          </w:p>
          <w:p w14:paraId="5B2B099D" w14:textId="3E29C213"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El contratista suministrará el aceite de motor requerido para el equipo de acuerdo con características señaladas en el numeral 4.1.1 de los términos de referencia.</w:t>
            </w:r>
          </w:p>
          <w:p w14:paraId="1E4C43C5" w14:textId="63072566"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San Gabán S.A., suministrará los filtros requeridos para la correcta ejecución del servicio.</w:t>
            </w:r>
          </w:p>
        </w:tc>
        <w:tc>
          <w:tcPr>
            <w:tcW w:w="709" w:type="dxa"/>
            <w:vMerge/>
            <w:tcBorders>
              <w:left w:val="nil"/>
              <w:bottom w:val="single" w:sz="4" w:space="0" w:color="auto"/>
              <w:right w:val="single" w:sz="4" w:space="0" w:color="auto"/>
            </w:tcBorders>
            <w:shd w:val="clear" w:color="auto" w:fill="auto"/>
            <w:vAlign w:val="center"/>
          </w:tcPr>
          <w:p w14:paraId="6ED0AE03" w14:textId="77777777" w:rsidR="00D939CD" w:rsidRPr="00CD3588" w:rsidRDefault="00D939CD" w:rsidP="00E16DEA">
            <w:pPr>
              <w:spacing w:after="0" w:line="240" w:lineRule="auto"/>
              <w:rPr>
                <w:rFonts w:ascii="Arial" w:eastAsia="Times New Roman" w:hAnsi="Arial" w:cs="Arial"/>
                <w:i/>
                <w:iCs/>
                <w:color w:val="auto"/>
                <w:sz w:val="18"/>
                <w:szCs w:val="16"/>
              </w:rPr>
            </w:pPr>
          </w:p>
        </w:tc>
        <w:tc>
          <w:tcPr>
            <w:tcW w:w="959" w:type="dxa"/>
            <w:vMerge/>
            <w:tcBorders>
              <w:left w:val="nil"/>
              <w:bottom w:val="single" w:sz="4" w:space="0" w:color="auto"/>
              <w:right w:val="single" w:sz="4" w:space="0" w:color="auto"/>
            </w:tcBorders>
            <w:shd w:val="clear" w:color="auto" w:fill="auto"/>
            <w:vAlign w:val="center"/>
          </w:tcPr>
          <w:p w14:paraId="56B093F0"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1025" w:type="dxa"/>
            <w:vMerge/>
            <w:tcBorders>
              <w:left w:val="nil"/>
              <w:bottom w:val="single" w:sz="4" w:space="0" w:color="auto"/>
              <w:right w:val="single" w:sz="4" w:space="0" w:color="auto"/>
            </w:tcBorders>
            <w:shd w:val="clear" w:color="000000" w:fill="FFFFFF"/>
            <w:vAlign w:val="center"/>
          </w:tcPr>
          <w:p w14:paraId="4F2838ED"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c>
          <w:tcPr>
            <w:tcW w:w="992" w:type="dxa"/>
            <w:vMerge/>
            <w:tcBorders>
              <w:left w:val="nil"/>
              <w:bottom w:val="single" w:sz="4" w:space="0" w:color="auto"/>
              <w:right w:val="single" w:sz="4" w:space="0" w:color="auto"/>
            </w:tcBorders>
            <w:shd w:val="clear" w:color="000000" w:fill="FFFFFF"/>
            <w:vAlign w:val="center"/>
          </w:tcPr>
          <w:p w14:paraId="551CB4A9"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r>
      <w:tr w:rsidR="00D939CD" w:rsidRPr="00340079" w14:paraId="13CB6640" w14:textId="77777777" w:rsidTr="00D939CD">
        <w:trPr>
          <w:trHeight w:val="211"/>
        </w:trPr>
        <w:tc>
          <w:tcPr>
            <w:tcW w:w="572" w:type="dxa"/>
            <w:vMerge w:val="restart"/>
            <w:tcBorders>
              <w:top w:val="nil"/>
              <w:left w:val="single" w:sz="4" w:space="0" w:color="auto"/>
              <w:right w:val="single" w:sz="4" w:space="0" w:color="auto"/>
            </w:tcBorders>
            <w:shd w:val="clear" w:color="auto" w:fill="auto"/>
            <w:vAlign w:val="center"/>
          </w:tcPr>
          <w:p w14:paraId="440E18F3" w14:textId="682BF7FD" w:rsidR="00D939CD" w:rsidRPr="00CD3588" w:rsidRDefault="00D939CD" w:rsidP="00E16DEA">
            <w:pPr>
              <w:spacing w:after="0" w:line="240" w:lineRule="auto"/>
              <w:jc w:val="center"/>
              <w:rPr>
                <w:rFonts w:ascii="Arial" w:eastAsia="Times New Roman" w:hAnsi="Arial" w:cs="Arial"/>
                <w:i/>
                <w:iCs/>
                <w:color w:val="auto"/>
                <w:sz w:val="18"/>
                <w:szCs w:val="16"/>
              </w:rPr>
            </w:pPr>
            <w:r>
              <w:rPr>
                <w:rFonts w:ascii="Arial" w:eastAsia="Times New Roman" w:hAnsi="Arial" w:cs="Arial"/>
                <w:i/>
                <w:iCs/>
                <w:color w:val="auto"/>
                <w:sz w:val="18"/>
                <w:szCs w:val="16"/>
              </w:rPr>
              <w:t>5</w:t>
            </w:r>
          </w:p>
        </w:tc>
        <w:tc>
          <w:tcPr>
            <w:tcW w:w="6516" w:type="dxa"/>
            <w:tcBorders>
              <w:top w:val="nil"/>
              <w:left w:val="nil"/>
              <w:bottom w:val="single" w:sz="4" w:space="0" w:color="auto"/>
              <w:right w:val="single" w:sz="4" w:space="0" w:color="auto"/>
            </w:tcBorders>
            <w:shd w:val="clear" w:color="auto" w:fill="D9D9D9" w:themeFill="background1" w:themeFillShade="D9"/>
            <w:vAlign w:val="center"/>
          </w:tcPr>
          <w:p w14:paraId="6BDFFA17" w14:textId="167CE270" w:rsidR="00D939CD" w:rsidRPr="00D939CD" w:rsidRDefault="00D939CD" w:rsidP="00146010">
            <w:pPr>
              <w:spacing w:after="0" w:line="240" w:lineRule="auto"/>
              <w:rPr>
                <w:rFonts w:ascii="Arial" w:eastAsia="Times New Roman" w:hAnsi="Arial" w:cs="Arial"/>
                <w:color w:val="auto"/>
                <w:sz w:val="18"/>
                <w:szCs w:val="16"/>
              </w:rPr>
            </w:pPr>
            <w:r w:rsidRPr="00D939CD">
              <w:rPr>
                <w:rFonts w:ascii="Arial" w:eastAsia="Times New Roman" w:hAnsi="Arial" w:cs="Arial"/>
                <w:b/>
                <w:bCs/>
                <w:color w:val="auto"/>
                <w:sz w:val="18"/>
                <w:szCs w:val="16"/>
              </w:rPr>
              <w:t>MANTENIMIENTO PREVENTIVO DE CAMIÓN GRÚA UNIMOG</w:t>
            </w:r>
          </w:p>
        </w:tc>
        <w:tc>
          <w:tcPr>
            <w:tcW w:w="709" w:type="dxa"/>
            <w:vMerge w:val="restart"/>
            <w:tcBorders>
              <w:top w:val="nil"/>
              <w:left w:val="nil"/>
              <w:right w:val="single" w:sz="4" w:space="0" w:color="auto"/>
            </w:tcBorders>
            <w:shd w:val="clear" w:color="auto" w:fill="auto"/>
            <w:vAlign w:val="center"/>
          </w:tcPr>
          <w:p w14:paraId="0A8A4011" w14:textId="77777777" w:rsidR="00D939CD" w:rsidRPr="00CD3588" w:rsidRDefault="00D939CD" w:rsidP="00E16DEA">
            <w:pPr>
              <w:spacing w:after="0" w:line="240" w:lineRule="auto"/>
              <w:rPr>
                <w:rFonts w:ascii="Arial" w:eastAsia="Times New Roman" w:hAnsi="Arial" w:cs="Arial"/>
                <w:i/>
                <w:iCs/>
                <w:color w:val="auto"/>
                <w:sz w:val="18"/>
                <w:szCs w:val="16"/>
              </w:rPr>
            </w:pPr>
          </w:p>
        </w:tc>
        <w:tc>
          <w:tcPr>
            <w:tcW w:w="959" w:type="dxa"/>
            <w:vMerge w:val="restart"/>
            <w:tcBorders>
              <w:top w:val="nil"/>
              <w:left w:val="nil"/>
              <w:right w:val="single" w:sz="4" w:space="0" w:color="auto"/>
            </w:tcBorders>
            <w:shd w:val="clear" w:color="auto" w:fill="auto"/>
            <w:vAlign w:val="center"/>
          </w:tcPr>
          <w:p w14:paraId="74C87B74"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1025" w:type="dxa"/>
            <w:vMerge w:val="restart"/>
            <w:tcBorders>
              <w:top w:val="nil"/>
              <w:left w:val="nil"/>
              <w:right w:val="single" w:sz="4" w:space="0" w:color="auto"/>
            </w:tcBorders>
            <w:shd w:val="clear" w:color="000000" w:fill="FFFFFF"/>
            <w:vAlign w:val="center"/>
          </w:tcPr>
          <w:p w14:paraId="4A350295"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c>
          <w:tcPr>
            <w:tcW w:w="992" w:type="dxa"/>
            <w:vMerge w:val="restart"/>
            <w:tcBorders>
              <w:top w:val="nil"/>
              <w:left w:val="nil"/>
              <w:right w:val="single" w:sz="4" w:space="0" w:color="auto"/>
            </w:tcBorders>
            <w:shd w:val="clear" w:color="000000" w:fill="FFFFFF"/>
            <w:vAlign w:val="center"/>
          </w:tcPr>
          <w:p w14:paraId="6EB0E844"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r>
      <w:tr w:rsidR="00D939CD" w:rsidRPr="00340079" w14:paraId="3E5F6188" w14:textId="77777777" w:rsidTr="00532048">
        <w:trPr>
          <w:trHeight w:val="211"/>
        </w:trPr>
        <w:tc>
          <w:tcPr>
            <w:tcW w:w="572" w:type="dxa"/>
            <w:vMerge/>
            <w:tcBorders>
              <w:left w:val="single" w:sz="4" w:space="0" w:color="auto"/>
              <w:bottom w:val="single" w:sz="4" w:space="0" w:color="auto"/>
              <w:right w:val="single" w:sz="4" w:space="0" w:color="auto"/>
            </w:tcBorders>
            <w:shd w:val="clear" w:color="auto" w:fill="auto"/>
            <w:vAlign w:val="center"/>
          </w:tcPr>
          <w:p w14:paraId="2CBE753C"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6516" w:type="dxa"/>
            <w:tcBorders>
              <w:top w:val="nil"/>
              <w:left w:val="nil"/>
              <w:bottom w:val="single" w:sz="4" w:space="0" w:color="auto"/>
              <w:right w:val="single" w:sz="4" w:space="0" w:color="auto"/>
            </w:tcBorders>
            <w:shd w:val="clear" w:color="auto" w:fill="auto"/>
            <w:vAlign w:val="center"/>
          </w:tcPr>
          <w:p w14:paraId="2D688CA7" w14:textId="08E0181E" w:rsidR="00D939CD" w:rsidRPr="00D939CD" w:rsidRDefault="00D939CD" w:rsidP="00146010">
            <w:pPr>
              <w:spacing w:after="0" w:line="240" w:lineRule="auto"/>
              <w:rPr>
                <w:rFonts w:ascii="Arial" w:eastAsia="Times New Roman" w:hAnsi="Arial" w:cs="Arial"/>
                <w:b/>
                <w:bCs/>
                <w:color w:val="auto"/>
                <w:sz w:val="16"/>
                <w:szCs w:val="14"/>
                <w:u w:val="single"/>
              </w:rPr>
            </w:pPr>
            <w:r w:rsidRPr="00D939CD">
              <w:rPr>
                <w:rFonts w:ascii="Arial" w:eastAsia="Times New Roman" w:hAnsi="Arial" w:cs="Arial"/>
                <w:b/>
                <w:bCs/>
                <w:color w:val="auto"/>
                <w:sz w:val="16"/>
                <w:szCs w:val="14"/>
                <w:u w:val="single"/>
              </w:rPr>
              <w:t>Mantenimiento preventivo</w:t>
            </w:r>
            <w:r w:rsidRPr="00D939CD">
              <w:rPr>
                <w:rFonts w:ascii="Arial" w:eastAsia="Times New Roman" w:hAnsi="Arial" w:cs="Arial"/>
                <w:b/>
                <w:bCs/>
                <w:color w:val="auto"/>
                <w:sz w:val="16"/>
                <w:szCs w:val="14"/>
                <w:u w:val="single"/>
              </w:rPr>
              <w:t>:</w:t>
            </w:r>
          </w:p>
          <w:p w14:paraId="064F0DA7" w14:textId="5817AE96"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Limpieza general del motor.</w:t>
            </w:r>
          </w:p>
          <w:p w14:paraId="16D90F6D" w14:textId="1F919460"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Limpieza general de componentes.</w:t>
            </w:r>
          </w:p>
          <w:p w14:paraId="244C83C4" w14:textId="2EF5DF39"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dispositivos de control de combustible.</w:t>
            </w:r>
          </w:p>
          <w:p w14:paraId="77548B49" w14:textId="298157F6"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Cambio de aceite y filtros de aceite de motor.</w:t>
            </w:r>
          </w:p>
          <w:p w14:paraId="51751E36" w14:textId="6218526E"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cambio de filtros de aire de ser necesario.</w:t>
            </w:r>
          </w:p>
          <w:p w14:paraId="5DD0C729" w14:textId="5A1F2C89"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Evaluación de los parámetros y condiciones de operación de los grupos.</w:t>
            </w:r>
          </w:p>
          <w:p w14:paraId="0B26DA1B" w14:textId="78FC7728"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Comprobación de mecanismo de control de combustible</w:t>
            </w:r>
          </w:p>
          <w:p w14:paraId="03398C5A" w14:textId="08742F3F"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Evaluación del turbo en operación.</w:t>
            </w:r>
          </w:p>
          <w:p w14:paraId="4D19DE7D" w14:textId="6C454526"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Calibración de válvulas (solo en caso de requerirse según diagnostico).</w:t>
            </w:r>
          </w:p>
          <w:p w14:paraId="6B1C29D3" w14:textId="387AA4A9"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Sincronización de inyectores (solo en caso de requerirse según diagnostico).</w:t>
            </w:r>
          </w:p>
          <w:p w14:paraId="101669E7" w14:textId="540BC9ED"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funcionamiento de bombas de agua, bombas de aceite, bombas de combustible.</w:t>
            </w:r>
          </w:p>
          <w:p w14:paraId="03B80627" w14:textId="634E5D77"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Lavado de tanque de combustible (caso de requerirse según diagnostico).</w:t>
            </w:r>
          </w:p>
          <w:p w14:paraId="75DE848C" w14:textId="50648C4D"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carga del generador/alternador.</w:t>
            </w:r>
          </w:p>
          <w:p w14:paraId="4EF8BFF9" w14:textId="3C67394B"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pruebas de funcionamiento del equipo.</w:t>
            </w:r>
          </w:p>
          <w:p w14:paraId="1651691C" w14:textId="5F0DCB7C"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estado y pruebas del sistema de suspensión, dirección, y frenos.</w:t>
            </w:r>
          </w:p>
          <w:p w14:paraId="6DB0E631" w14:textId="2F443AB3"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pruebas del sistema eléctrico (encendido, alumbrado, direccionales, etc.).</w:t>
            </w:r>
          </w:p>
          <w:p w14:paraId="503B8CE4" w14:textId="678CB905" w:rsidR="00D939CD" w:rsidRPr="00D939CD" w:rsidRDefault="00D939CD" w:rsidP="00146010">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del estado de los neumáticos.</w:t>
            </w:r>
          </w:p>
          <w:p w14:paraId="50AA32A5" w14:textId="6DC1ECC9" w:rsidR="00D939CD" w:rsidRPr="00D939CD" w:rsidRDefault="00D939CD" w:rsidP="00F02644">
            <w:pPr>
              <w:spacing w:after="0" w:line="240" w:lineRule="auto"/>
              <w:rPr>
                <w:rFonts w:ascii="Arial" w:eastAsia="Times New Roman" w:hAnsi="Arial" w:cs="Arial"/>
                <w:b/>
                <w:bCs/>
                <w:color w:val="auto"/>
                <w:sz w:val="16"/>
                <w:szCs w:val="14"/>
                <w:u w:val="single"/>
              </w:rPr>
            </w:pPr>
            <w:r w:rsidRPr="00D939CD">
              <w:rPr>
                <w:rFonts w:ascii="Arial" w:eastAsia="Times New Roman" w:hAnsi="Arial" w:cs="Arial"/>
                <w:b/>
                <w:bCs/>
                <w:color w:val="auto"/>
                <w:sz w:val="16"/>
                <w:szCs w:val="14"/>
                <w:u w:val="single"/>
              </w:rPr>
              <w:t>Mantenimiento correctivo</w:t>
            </w:r>
            <w:r w:rsidRPr="00D939CD">
              <w:rPr>
                <w:rFonts w:ascii="Arial" w:eastAsia="Times New Roman" w:hAnsi="Arial" w:cs="Arial"/>
                <w:b/>
                <w:bCs/>
                <w:color w:val="auto"/>
                <w:sz w:val="16"/>
                <w:szCs w:val="14"/>
                <w:u w:val="single"/>
              </w:rPr>
              <w:t>:</w:t>
            </w:r>
          </w:p>
          <w:p w14:paraId="2C65CC65" w14:textId="1CA2E669" w:rsidR="00D939CD" w:rsidRPr="00D939CD" w:rsidRDefault="00D939CD" w:rsidP="00F02644">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xml:space="preserve">- Reemplazo de mangueras hidráulicas flexibles de presión del brazo hidráulico de la grúa. </w:t>
            </w:r>
          </w:p>
          <w:p w14:paraId="585EFA1C" w14:textId="306E0BB5" w:rsidR="00D939CD" w:rsidRPr="00D939CD" w:rsidRDefault="00D939CD" w:rsidP="00F02644">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xml:space="preserve">- Mantenimiento de mando de control de accionamiento de brazo hidráulico. </w:t>
            </w:r>
          </w:p>
          <w:p w14:paraId="768117C5" w14:textId="77777777" w:rsidR="00D939CD" w:rsidRPr="00D939CD" w:rsidRDefault="00D939CD" w:rsidP="00F02644">
            <w:pPr>
              <w:spacing w:after="0" w:line="240" w:lineRule="auto"/>
              <w:rPr>
                <w:rFonts w:ascii="Arial" w:eastAsia="Times New Roman" w:hAnsi="Arial" w:cs="Arial"/>
                <w:b/>
                <w:bCs/>
                <w:color w:val="auto"/>
                <w:sz w:val="16"/>
                <w:szCs w:val="14"/>
                <w:u w:val="single"/>
              </w:rPr>
            </w:pPr>
            <w:r w:rsidRPr="00D939CD">
              <w:rPr>
                <w:rFonts w:ascii="Arial" w:eastAsia="Times New Roman" w:hAnsi="Arial" w:cs="Arial"/>
                <w:b/>
                <w:bCs/>
                <w:color w:val="auto"/>
                <w:sz w:val="16"/>
                <w:szCs w:val="14"/>
                <w:u w:val="single"/>
              </w:rPr>
              <w:t xml:space="preserve">Observaciones: </w:t>
            </w:r>
          </w:p>
          <w:p w14:paraId="5179D3CE" w14:textId="08C3F620" w:rsidR="00D939CD" w:rsidRPr="00D939CD" w:rsidRDefault="00D939CD" w:rsidP="00F02644">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xml:space="preserve">- El contratista suministrará el aceite de motor requerido para el equipo de acuerdo con características señaladas en el numeral 4.1.1 de los términos de referencia. </w:t>
            </w:r>
          </w:p>
          <w:p w14:paraId="49BF7926" w14:textId="60C5D528" w:rsidR="00D939CD" w:rsidRPr="00D939CD" w:rsidRDefault="00D939CD" w:rsidP="00F02644">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xml:space="preserve">- El contratista suministrará los repuestos necesarios para la correcta ejecución del mantenimiento correctivo descrito. </w:t>
            </w:r>
          </w:p>
          <w:p w14:paraId="21A43F50" w14:textId="39ADB70C"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xml:space="preserve">- San Gabán S.A., suministrará los filtros requeridos para la correcta ejecución del servicio. </w:t>
            </w:r>
          </w:p>
        </w:tc>
        <w:tc>
          <w:tcPr>
            <w:tcW w:w="709" w:type="dxa"/>
            <w:vMerge/>
            <w:tcBorders>
              <w:left w:val="nil"/>
              <w:bottom w:val="single" w:sz="4" w:space="0" w:color="auto"/>
              <w:right w:val="single" w:sz="4" w:space="0" w:color="auto"/>
            </w:tcBorders>
            <w:shd w:val="clear" w:color="auto" w:fill="auto"/>
            <w:vAlign w:val="center"/>
          </w:tcPr>
          <w:p w14:paraId="351DA29A" w14:textId="77777777" w:rsidR="00D939CD" w:rsidRPr="00CD3588" w:rsidRDefault="00D939CD" w:rsidP="00E16DEA">
            <w:pPr>
              <w:spacing w:after="0" w:line="240" w:lineRule="auto"/>
              <w:rPr>
                <w:rFonts w:ascii="Arial" w:eastAsia="Times New Roman" w:hAnsi="Arial" w:cs="Arial"/>
                <w:i/>
                <w:iCs/>
                <w:color w:val="auto"/>
                <w:sz w:val="18"/>
                <w:szCs w:val="16"/>
              </w:rPr>
            </w:pPr>
          </w:p>
        </w:tc>
        <w:tc>
          <w:tcPr>
            <w:tcW w:w="959" w:type="dxa"/>
            <w:vMerge/>
            <w:tcBorders>
              <w:left w:val="nil"/>
              <w:bottom w:val="single" w:sz="4" w:space="0" w:color="auto"/>
              <w:right w:val="single" w:sz="4" w:space="0" w:color="auto"/>
            </w:tcBorders>
            <w:shd w:val="clear" w:color="auto" w:fill="auto"/>
            <w:vAlign w:val="center"/>
          </w:tcPr>
          <w:p w14:paraId="4CF3ACCF"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1025" w:type="dxa"/>
            <w:vMerge/>
            <w:tcBorders>
              <w:left w:val="nil"/>
              <w:bottom w:val="single" w:sz="4" w:space="0" w:color="auto"/>
              <w:right w:val="single" w:sz="4" w:space="0" w:color="auto"/>
            </w:tcBorders>
            <w:shd w:val="clear" w:color="000000" w:fill="FFFFFF"/>
            <w:vAlign w:val="center"/>
          </w:tcPr>
          <w:p w14:paraId="3B396A40"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c>
          <w:tcPr>
            <w:tcW w:w="992" w:type="dxa"/>
            <w:vMerge/>
            <w:tcBorders>
              <w:left w:val="nil"/>
              <w:bottom w:val="single" w:sz="4" w:space="0" w:color="auto"/>
              <w:right w:val="single" w:sz="4" w:space="0" w:color="auto"/>
            </w:tcBorders>
            <w:shd w:val="clear" w:color="000000" w:fill="FFFFFF"/>
            <w:vAlign w:val="center"/>
          </w:tcPr>
          <w:p w14:paraId="24ADE60E"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r>
      <w:tr w:rsidR="00D939CD" w:rsidRPr="00340079" w14:paraId="38E25330" w14:textId="77777777" w:rsidTr="00D939CD">
        <w:trPr>
          <w:trHeight w:val="211"/>
        </w:trPr>
        <w:tc>
          <w:tcPr>
            <w:tcW w:w="572" w:type="dxa"/>
            <w:vMerge w:val="restart"/>
            <w:tcBorders>
              <w:top w:val="nil"/>
              <w:left w:val="single" w:sz="4" w:space="0" w:color="auto"/>
              <w:right w:val="single" w:sz="4" w:space="0" w:color="auto"/>
            </w:tcBorders>
            <w:shd w:val="clear" w:color="auto" w:fill="auto"/>
            <w:vAlign w:val="center"/>
          </w:tcPr>
          <w:p w14:paraId="0EAB6BAE" w14:textId="2ABB7D00" w:rsidR="00D939CD" w:rsidRPr="00CD3588" w:rsidRDefault="00D939CD" w:rsidP="00E16DEA">
            <w:pPr>
              <w:spacing w:after="0" w:line="240" w:lineRule="auto"/>
              <w:jc w:val="center"/>
              <w:rPr>
                <w:rFonts w:ascii="Arial" w:eastAsia="Times New Roman" w:hAnsi="Arial" w:cs="Arial"/>
                <w:i/>
                <w:iCs/>
                <w:color w:val="auto"/>
                <w:sz w:val="18"/>
                <w:szCs w:val="16"/>
              </w:rPr>
            </w:pPr>
            <w:r>
              <w:rPr>
                <w:rFonts w:ascii="Arial" w:eastAsia="Times New Roman" w:hAnsi="Arial" w:cs="Arial"/>
                <w:i/>
                <w:iCs/>
                <w:color w:val="auto"/>
                <w:sz w:val="18"/>
                <w:szCs w:val="16"/>
              </w:rPr>
              <w:t>6</w:t>
            </w:r>
          </w:p>
        </w:tc>
        <w:tc>
          <w:tcPr>
            <w:tcW w:w="6516" w:type="dxa"/>
            <w:tcBorders>
              <w:top w:val="nil"/>
              <w:left w:val="nil"/>
              <w:bottom w:val="single" w:sz="4" w:space="0" w:color="auto"/>
              <w:right w:val="single" w:sz="4" w:space="0" w:color="auto"/>
            </w:tcBorders>
            <w:shd w:val="clear" w:color="auto" w:fill="D9D9D9" w:themeFill="background1" w:themeFillShade="D9"/>
            <w:vAlign w:val="center"/>
          </w:tcPr>
          <w:p w14:paraId="614EA3E3" w14:textId="21DDF288" w:rsidR="00D939CD" w:rsidRPr="00D939CD" w:rsidRDefault="00D939CD" w:rsidP="00B57BE7">
            <w:pPr>
              <w:spacing w:after="0" w:line="240" w:lineRule="auto"/>
              <w:rPr>
                <w:rFonts w:ascii="Arial" w:eastAsia="Times New Roman" w:hAnsi="Arial" w:cs="Arial"/>
                <w:b/>
                <w:bCs/>
                <w:color w:val="auto"/>
                <w:sz w:val="18"/>
                <w:szCs w:val="16"/>
              </w:rPr>
            </w:pPr>
            <w:r w:rsidRPr="00D939CD">
              <w:rPr>
                <w:rFonts w:ascii="Arial" w:eastAsia="Times New Roman" w:hAnsi="Arial" w:cs="Arial"/>
                <w:b/>
                <w:bCs/>
                <w:color w:val="auto"/>
                <w:sz w:val="18"/>
                <w:szCs w:val="16"/>
              </w:rPr>
              <w:t>MANTENIMIENTO PREVENTIVO DE CAMIÓN UNIMOG</w:t>
            </w:r>
          </w:p>
        </w:tc>
        <w:tc>
          <w:tcPr>
            <w:tcW w:w="709" w:type="dxa"/>
            <w:vMerge w:val="restart"/>
            <w:tcBorders>
              <w:top w:val="nil"/>
              <w:left w:val="nil"/>
              <w:right w:val="single" w:sz="4" w:space="0" w:color="auto"/>
            </w:tcBorders>
            <w:shd w:val="clear" w:color="auto" w:fill="auto"/>
            <w:vAlign w:val="center"/>
          </w:tcPr>
          <w:p w14:paraId="20F225B7" w14:textId="77777777" w:rsidR="00D939CD" w:rsidRPr="00CD3588" w:rsidRDefault="00D939CD" w:rsidP="00E16DEA">
            <w:pPr>
              <w:spacing w:after="0" w:line="240" w:lineRule="auto"/>
              <w:rPr>
                <w:rFonts w:ascii="Arial" w:eastAsia="Times New Roman" w:hAnsi="Arial" w:cs="Arial"/>
                <w:i/>
                <w:iCs/>
                <w:color w:val="auto"/>
                <w:sz w:val="18"/>
                <w:szCs w:val="16"/>
              </w:rPr>
            </w:pPr>
          </w:p>
        </w:tc>
        <w:tc>
          <w:tcPr>
            <w:tcW w:w="959" w:type="dxa"/>
            <w:vMerge w:val="restart"/>
            <w:tcBorders>
              <w:top w:val="nil"/>
              <w:left w:val="nil"/>
              <w:right w:val="single" w:sz="4" w:space="0" w:color="auto"/>
            </w:tcBorders>
            <w:shd w:val="clear" w:color="auto" w:fill="auto"/>
            <w:vAlign w:val="center"/>
          </w:tcPr>
          <w:p w14:paraId="049DA6B0"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1025" w:type="dxa"/>
            <w:vMerge w:val="restart"/>
            <w:tcBorders>
              <w:top w:val="nil"/>
              <w:left w:val="nil"/>
              <w:right w:val="single" w:sz="4" w:space="0" w:color="auto"/>
            </w:tcBorders>
            <w:shd w:val="clear" w:color="000000" w:fill="FFFFFF"/>
            <w:vAlign w:val="center"/>
          </w:tcPr>
          <w:p w14:paraId="2F10732C"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c>
          <w:tcPr>
            <w:tcW w:w="992" w:type="dxa"/>
            <w:vMerge w:val="restart"/>
            <w:tcBorders>
              <w:top w:val="nil"/>
              <w:left w:val="nil"/>
              <w:right w:val="single" w:sz="4" w:space="0" w:color="auto"/>
            </w:tcBorders>
            <w:shd w:val="clear" w:color="000000" w:fill="FFFFFF"/>
            <w:vAlign w:val="center"/>
          </w:tcPr>
          <w:p w14:paraId="251F3288"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r>
      <w:tr w:rsidR="00D939CD" w:rsidRPr="00340079" w14:paraId="0B357A8A" w14:textId="77777777" w:rsidTr="00004B24">
        <w:trPr>
          <w:trHeight w:val="211"/>
        </w:trPr>
        <w:tc>
          <w:tcPr>
            <w:tcW w:w="572" w:type="dxa"/>
            <w:vMerge/>
            <w:tcBorders>
              <w:left w:val="single" w:sz="4" w:space="0" w:color="auto"/>
              <w:bottom w:val="single" w:sz="4" w:space="0" w:color="auto"/>
              <w:right w:val="single" w:sz="4" w:space="0" w:color="auto"/>
            </w:tcBorders>
            <w:shd w:val="clear" w:color="auto" w:fill="auto"/>
            <w:vAlign w:val="center"/>
          </w:tcPr>
          <w:p w14:paraId="41F59B2A"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6516" w:type="dxa"/>
            <w:tcBorders>
              <w:top w:val="nil"/>
              <w:left w:val="nil"/>
              <w:bottom w:val="single" w:sz="4" w:space="0" w:color="auto"/>
              <w:right w:val="single" w:sz="4" w:space="0" w:color="auto"/>
            </w:tcBorders>
            <w:shd w:val="clear" w:color="auto" w:fill="auto"/>
            <w:vAlign w:val="center"/>
          </w:tcPr>
          <w:p w14:paraId="5D6C34FA" w14:textId="7BF4EA2A" w:rsidR="00D939CD" w:rsidRPr="00D939CD" w:rsidRDefault="00D939CD" w:rsidP="00B57BE7">
            <w:pPr>
              <w:spacing w:after="0" w:line="240" w:lineRule="auto"/>
              <w:rPr>
                <w:rFonts w:ascii="Arial" w:eastAsia="Times New Roman" w:hAnsi="Arial" w:cs="Arial"/>
                <w:b/>
                <w:bCs/>
                <w:color w:val="auto"/>
                <w:sz w:val="16"/>
                <w:szCs w:val="14"/>
                <w:u w:val="single"/>
              </w:rPr>
            </w:pPr>
            <w:r w:rsidRPr="00D939CD">
              <w:rPr>
                <w:rFonts w:ascii="Arial" w:eastAsia="Times New Roman" w:hAnsi="Arial" w:cs="Arial"/>
                <w:b/>
                <w:bCs/>
                <w:color w:val="auto"/>
                <w:sz w:val="16"/>
                <w:szCs w:val="14"/>
                <w:u w:val="single"/>
              </w:rPr>
              <w:t>Mantenimiento preventivo</w:t>
            </w:r>
            <w:r w:rsidRPr="00D939CD">
              <w:rPr>
                <w:rFonts w:ascii="Arial" w:eastAsia="Times New Roman" w:hAnsi="Arial" w:cs="Arial"/>
                <w:b/>
                <w:bCs/>
                <w:color w:val="auto"/>
                <w:sz w:val="16"/>
                <w:szCs w:val="14"/>
                <w:u w:val="single"/>
              </w:rPr>
              <w:t>:</w:t>
            </w:r>
          </w:p>
          <w:p w14:paraId="74EB194F" w14:textId="1F5BE0F2"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Limpieza general del motor.</w:t>
            </w:r>
          </w:p>
          <w:p w14:paraId="259ACA66" w14:textId="22D158E4"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Limpieza general de componentes.</w:t>
            </w:r>
          </w:p>
          <w:p w14:paraId="1FDCD364" w14:textId="544BE66A"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dispositivos de control de combustible.</w:t>
            </w:r>
          </w:p>
          <w:p w14:paraId="0ADE1D2F" w14:textId="7ED34433"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Cambio de aceite y filtros de aceite de motor.</w:t>
            </w:r>
          </w:p>
          <w:p w14:paraId="03F9D8CC" w14:textId="09EC549D"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cambio de filtros de aire de ser necesario.</w:t>
            </w:r>
          </w:p>
          <w:p w14:paraId="23A49F2E" w14:textId="4A76B6B8"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Evaluación de los parámetros y condiciones de operación de los grupos.</w:t>
            </w:r>
          </w:p>
          <w:p w14:paraId="04936201" w14:textId="474C86B6"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Comprobación de mecanismo de control de combustible</w:t>
            </w:r>
          </w:p>
          <w:p w14:paraId="5C4DCEB5" w14:textId="5DD8D419"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Evaluación del turbo en operación.</w:t>
            </w:r>
          </w:p>
          <w:p w14:paraId="75F8B27B" w14:textId="624DB712"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Calibración de válvulas (solo en caso de requerirse según diagnostico).</w:t>
            </w:r>
          </w:p>
          <w:p w14:paraId="2D631E24" w14:textId="5A750E45"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Sincronización de inyectores (solo en caso de requerirse según diagnostico).</w:t>
            </w:r>
          </w:p>
          <w:p w14:paraId="54F7DFD5" w14:textId="57B15A03"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funcionamiento de bombas de agua, bombas de aceite, bombas de combustible.</w:t>
            </w:r>
          </w:p>
          <w:p w14:paraId="362E45A6" w14:textId="49D702FA"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Lavado de tanque de combustible (caso de requerirse según diagnostico).</w:t>
            </w:r>
          </w:p>
          <w:p w14:paraId="3BC868BB" w14:textId="5899FB26"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carga del generador/alternador.</w:t>
            </w:r>
          </w:p>
          <w:p w14:paraId="0787055F" w14:textId="2644C1D7"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pruebas de funcionamiento del equipo.</w:t>
            </w:r>
          </w:p>
          <w:p w14:paraId="47E70789" w14:textId="36CD1133"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estado y pruebas del sistema de suspensión, dirección, y frenos.</w:t>
            </w:r>
          </w:p>
          <w:p w14:paraId="2A2B37F9" w14:textId="74199EED"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pruebas del sistema eléctrico (encendido, alumbrado, direccionales, etc.).</w:t>
            </w:r>
          </w:p>
          <w:p w14:paraId="33B7F177" w14:textId="15F2DC4B"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del estado de</w:t>
            </w:r>
            <w:r w:rsidRPr="00D939CD">
              <w:rPr>
                <w:rFonts w:ascii="Arial" w:eastAsia="Times New Roman" w:hAnsi="Arial" w:cs="Arial"/>
                <w:color w:val="auto"/>
                <w:sz w:val="18"/>
                <w:szCs w:val="16"/>
              </w:rPr>
              <w:t xml:space="preserve"> los neumáticos.</w:t>
            </w:r>
          </w:p>
          <w:p w14:paraId="77FF55D2" w14:textId="367565FC" w:rsidR="00D939CD" w:rsidRPr="00D939CD" w:rsidRDefault="00D939CD" w:rsidP="00B57BE7">
            <w:pPr>
              <w:spacing w:after="0" w:line="240" w:lineRule="auto"/>
              <w:rPr>
                <w:rFonts w:ascii="Arial" w:eastAsia="Times New Roman" w:hAnsi="Arial" w:cs="Arial"/>
                <w:b/>
                <w:bCs/>
                <w:color w:val="auto"/>
                <w:sz w:val="16"/>
                <w:szCs w:val="14"/>
                <w:u w:val="single"/>
              </w:rPr>
            </w:pPr>
            <w:r w:rsidRPr="00D939CD">
              <w:rPr>
                <w:rFonts w:ascii="Arial" w:eastAsia="Times New Roman" w:hAnsi="Arial" w:cs="Arial"/>
                <w:b/>
                <w:bCs/>
                <w:color w:val="auto"/>
                <w:sz w:val="16"/>
                <w:szCs w:val="14"/>
                <w:u w:val="single"/>
              </w:rPr>
              <w:t>Mantenimiento correctivo</w:t>
            </w:r>
            <w:r w:rsidRPr="00D939CD">
              <w:rPr>
                <w:rFonts w:ascii="Arial" w:eastAsia="Times New Roman" w:hAnsi="Arial" w:cs="Arial"/>
                <w:b/>
                <w:bCs/>
                <w:color w:val="auto"/>
                <w:sz w:val="16"/>
                <w:szCs w:val="14"/>
                <w:u w:val="single"/>
              </w:rPr>
              <w:t>:</w:t>
            </w:r>
          </w:p>
          <w:p w14:paraId="5AECA1D2" w14:textId="20F9D5D5"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xml:space="preserve">- Mantenimiento correctivo de caja de transmisión (Reemplazo de sellos, discos de embrague, aceite, según sea necesario para su correcta operación). </w:t>
            </w:r>
          </w:p>
          <w:p w14:paraId="05ED201E" w14:textId="77777777" w:rsidR="00D939CD" w:rsidRPr="00D939CD" w:rsidRDefault="00D939CD" w:rsidP="00B57BE7">
            <w:pPr>
              <w:spacing w:after="0" w:line="240" w:lineRule="auto"/>
              <w:rPr>
                <w:rFonts w:ascii="Arial" w:eastAsia="Times New Roman" w:hAnsi="Arial" w:cs="Arial"/>
                <w:b/>
                <w:bCs/>
                <w:color w:val="auto"/>
                <w:sz w:val="16"/>
                <w:szCs w:val="14"/>
                <w:u w:val="single"/>
              </w:rPr>
            </w:pPr>
            <w:r w:rsidRPr="00D939CD">
              <w:rPr>
                <w:rFonts w:ascii="Arial" w:eastAsia="Times New Roman" w:hAnsi="Arial" w:cs="Arial"/>
                <w:b/>
                <w:bCs/>
                <w:color w:val="auto"/>
                <w:sz w:val="16"/>
                <w:szCs w:val="14"/>
                <w:u w:val="single"/>
              </w:rPr>
              <w:t>Observaciones:</w:t>
            </w:r>
          </w:p>
          <w:p w14:paraId="18562ECD" w14:textId="2B8D02C7"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El contratista suministrará el aceite de motor requerido para el equipo de acuerdo con características señaladas en el numeral 4.1.1 de los términos de referencia.</w:t>
            </w:r>
          </w:p>
          <w:p w14:paraId="7A25B130" w14:textId="5BB0612F"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El contratista suministrará los repuestos necesarios para la correcta ejecución del mantenimiento correctivo descrito.</w:t>
            </w:r>
          </w:p>
          <w:p w14:paraId="064E7899" w14:textId="188D4090"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San Gabán S.A., suministrará los filtros requeridos para la correcta ejecución del servicio.</w:t>
            </w:r>
          </w:p>
        </w:tc>
        <w:tc>
          <w:tcPr>
            <w:tcW w:w="709" w:type="dxa"/>
            <w:vMerge/>
            <w:tcBorders>
              <w:left w:val="nil"/>
              <w:bottom w:val="single" w:sz="4" w:space="0" w:color="auto"/>
              <w:right w:val="single" w:sz="4" w:space="0" w:color="auto"/>
            </w:tcBorders>
            <w:shd w:val="clear" w:color="auto" w:fill="auto"/>
            <w:vAlign w:val="center"/>
          </w:tcPr>
          <w:p w14:paraId="0B752CFF" w14:textId="77777777" w:rsidR="00D939CD" w:rsidRPr="00CD3588" w:rsidRDefault="00D939CD" w:rsidP="00E16DEA">
            <w:pPr>
              <w:spacing w:after="0" w:line="240" w:lineRule="auto"/>
              <w:rPr>
                <w:rFonts w:ascii="Arial" w:eastAsia="Times New Roman" w:hAnsi="Arial" w:cs="Arial"/>
                <w:i/>
                <w:iCs/>
                <w:color w:val="auto"/>
                <w:sz w:val="18"/>
                <w:szCs w:val="16"/>
              </w:rPr>
            </w:pPr>
          </w:p>
        </w:tc>
        <w:tc>
          <w:tcPr>
            <w:tcW w:w="959" w:type="dxa"/>
            <w:vMerge/>
            <w:tcBorders>
              <w:left w:val="nil"/>
              <w:bottom w:val="single" w:sz="4" w:space="0" w:color="auto"/>
              <w:right w:val="single" w:sz="4" w:space="0" w:color="auto"/>
            </w:tcBorders>
            <w:shd w:val="clear" w:color="auto" w:fill="auto"/>
            <w:vAlign w:val="center"/>
          </w:tcPr>
          <w:p w14:paraId="294BFAF2"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1025" w:type="dxa"/>
            <w:vMerge/>
            <w:tcBorders>
              <w:left w:val="nil"/>
              <w:bottom w:val="single" w:sz="4" w:space="0" w:color="auto"/>
              <w:right w:val="single" w:sz="4" w:space="0" w:color="auto"/>
            </w:tcBorders>
            <w:shd w:val="clear" w:color="000000" w:fill="FFFFFF"/>
            <w:vAlign w:val="center"/>
          </w:tcPr>
          <w:p w14:paraId="62E6D441"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c>
          <w:tcPr>
            <w:tcW w:w="992" w:type="dxa"/>
            <w:vMerge/>
            <w:tcBorders>
              <w:left w:val="nil"/>
              <w:bottom w:val="single" w:sz="4" w:space="0" w:color="auto"/>
              <w:right w:val="single" w:sz="4" w:space="0" w:color="auto"/>
            </w:tcBorders>
            <w:shd w:val="clear" w:color="000000" w:fill="FFFFFF"/>
            <w:vAlign w:val="center"/>
          </w:tcPr>
          <w:p w14:paraId="4C69A03F"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r>
      <w:tr w:rsidR="00D939CD" w:rsidRPr="00340079" w14:paraId="565C187A" w14:textId="77777777" w:rsidTr="00D939CD">
        <w:trPr>
          <w:trHeight w:val="211"/>
        </w:trPr>
        <w:tc>
          <w:tcPr>
            <w:tcW w:w="572" w:type="dxa"/>
            <w:vMerge w:val="restart"/>
            <w:tcBorders>
              <w:top w:val="nil"/>
              <w:left w:val="single" w:sz="4" w:space="0" w:color="auto"/>
              <w:right w:val="single" w:sz="4" w:space="0" w:color="auto"/>
            </w:tcBorders>
            <w:shd w:val="clear" w:color="auto" w:fill="auto"/>
            <w:vAlign w:val="center"/>
          </w:tcPr>
          <w:p w14:paraId="462CDB70" w14:textId="564BFA57" w:rsidR="00D939CD" w:rsidRPr="00CD3588" w:rsidRDefault="00D939CD" w:rsidP="00E16DEA">
            <w:pPr>
              <w:spacing w:after="0" w:line="240" w:lineRule="auto"/>
              <w:jc w:val="center"/>
              <w:rPr>
                <w:rFonts w:ascii="Arial" w:eastAsia="Times New Roman" w:hAnsi="Arial" w:cs="Arial"/>
                <w:i/>
                <w:iCs/>
                <w:color w:val="auto"/>
                <w:sz w:val="18"/>
                <w:szCs w:val="16"/>
              </w:rPr>
            </w:pPr>
            <w:r>
              <w:rPr>
                <w:rFonts w:ascii="Arial" w:eastAsia="Times New Roman" w:hAnsi="Arial" w:cs="Arial"/>
                <w:i/>
                <w:iCs/>
                <w:color w:val="auto"/>
                <w:sz w:val="18"/>
                <w:szCs w:val="16"/>
              </w:rPr>
              <w:t>7</w:t>
            </w:r>
          </w:p>
        </w:tc>
        <w:tc>
          <w:tcPr>
            <w:tcW w:w="6516" w:type="dxa"/>
            <w:tcBorders>
              <w:top w:val="nil"/>
              <w:left w:val="nil"/>
              <w:bottom w:val="single" w:sz="4" w:space="0" w:color="auto"/>
              <w:right w:val="single" w:sz="4" w:space="0" w:color="auto"/>
            </w:tcBorders>
            <w:shd w:val="clear" w:color="auto" w:fill="D9D9D9" w:themeFill="background1" w:themeFillShade="D9"/>
            <w:vAlign w:val="center"/>
          </w:tcPr>
          <w:p w14:paraId="41EB3ABE" w14:textId="7BECD3AA" w:rsidR="00D939CD" w:rsidRPr="00D939CD" w:rsidRDefault="00D939CD" w:rsidP="00B57BE7">
            <w:pPr>
              <w:spacing w:after="0" w:line="240" w:lineRule="auto"/>
              <w:rPr>
                <w:rFonts w:ascii="Arial" w:eastAsia="Times New Roman" w:hAnsi="Arial" w:cs="Arial"/>
                <w:b/>
                <w:bCs/>
                <w:color w:val="auto"/>
                <w:sz w:val="18"/>
                <w:szCs w:val="16"/>
              </w:rPr>
            </w:pPr>
            <w:r w:rsidRPr="00D939CD">
              <w:rPr>
                <w:rFonts w:ascii="Arial" w:eastAsia="Times New Roman" w:hAnsi="Arial" w:cs="Arial"/>
                <w:b/>
                <w:bCs/>
                <w:color w:val="auto"/>
                <w:sz w:val="18"/>
                <w:szCs w:val="16"/>
              </w:rPr>
              <w:t>MANTENIMIENTO PREVENTIVO DE GRÚA MÓVIL EMPETREC</w:t>
            </w:r>
          </w:p>
        </w:tc>
        <w:tc>
          <w:tcPr>
            <w:tcW w:w="709" w:type="dxa"/>
            <w:vMerge w:val="restart"/>
            <w:tcBorders>
              <w:top w:val="nil"/>
              <w:left w:val="nil"/>
              <w:right w:val="single" w:sz="4" w:space="0" w:color="auto"/>
            </w:tcBorders>
            <w:shd w:val="clear" w:color="auto" w:fill="auto"/>
            <w:vAlign w:val="center"/>
          </w:tcPr>
          <w:p w14:paraId="783969CE" w14:textId="77777777" w:rsidR="00D939CD" w:rsidRPr="00CD3588" w:rsidRDefault="00D939CD" w:rsidP="00E16DEA">
            <w:pPr>
              <w:spacing w:after="0" w:line="240" w:lineRule="auto"/>
              <w:rPr>
                <w:rFonts w:ascii="Arial" w:eastAsia="Times New Roman" w:hAnsi="Arial" w:cs="Arial"/>
                <w:i/>
                <w:iCs/>
                <w:color w:val="auto"/>
                <w:sz w:val="18"/>
                <w:szCs w:val="16"/>
              </w:rPr>
            </w:pPr>
          </w:p>
        </w:tc>
        <w:tc>
          <w:tcPr>
            <w:tcW w:w="959" w:type="dxa"/>
            <w:vMerge w:val="restart"/>
            <w:tcBorders>
              <w:top w:val="nil"/>
              <w:left w:val="nil"/>
              <w:right w:val="single" w:sz="4" w:space="0" w:color="auto"/>
            </w:tcBorders>
            <w:shd w:val="clear" w:color="auto" w:fill="auto"/>
            <w:vAlign w:val="center"/>
          </w:tcPr>
          <w:p w14:paraId="4D9CFB6C"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1025" w:type="dxa"/>
            <w:vMerge w:val="restart"/>
            <w:tcBorders>
              <w:top w:val="nil"/>
              <w:left w:val="nil"/>
              <w:right w:val="single" w:sz="4" w:space="0" w:color="auto"/>
            </w:tcBorders>
            <w:shd w:val="clear" w:color="000000" w:fill="FFFFFF"/>
            <w:vAlign w:val="center"/>
          </w:tcPr>
          <w:p w14:paraId="1A66342E"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c>
          <w:tcPr>
            <w:tcW w:w="992" w:type="dxa"/>
            <w:vMerge w:val="restart"/>
            <w:tcBorders>
              <w:top w:val="nil"/>
              <w:left w:val="nil"/>
              <w:right w:val="single" w:sz="4" w:space="0" w:color="auto"/>
            </w:tcBorders>
            <w:shd w:val="clear" w:color="000000" w:fill="FFFFFF"/>
            <w:vAlign w:val="center"/>
          </w:tcPr>
          <w:p w14:paraId="5DEC894C"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r>
      <w:tr w:rsidR="00D939CD" w:rsidRPr="00340079" w14:paraId="660D2935" w14:textId="77777777" w:rsidTr="007F26F1">
        <w:trPr>
          <w:trHeight w:val="211"/>
        </w:trPr>
        <w:tc>
          <w:tcPr>
            <w:tcW w:w="572" w:type="dxa"/>
            <w:vMerge/>
            <w:tcBorders>
              <w:left w:val="single" w:sz="4" w:space="0" w:color="auto"/>
              <w:bottom w:val="single" w:sz="4" w:space="0" w:color="auto"/>
              <w:right w:val="single" w:sz="4" w:space="0" w:color="auto"/>
            </w:tcBorders>
            <w:shd w:val="clear" w:color="auto" w:fill="auto"/>
            <w:vAlign w:val="center"/>
          </w:tcPr>
          <w:p w14:paraId="2E2811DA" w14:textId="77777777" w:rsidR="00D939CD" w:rsidRPr="00B57BE7" w:rsidRDefault="00D939CD" w:rsidP="00B57BE7">
            <w:pPr>
              <w:spacing w:after="0" w:line="240" w:lineRule="auto"/>
              <w:rPr>
                <w:rFonts w:ascii="Arial" w:eastAsia="Times New Roman" w:hAnsi="Arial" w:cs="Arial"/>
                <w:i/>
                <w:iCs/>
                <w:color w:val="auto"/>
                <w:sz w:val="16"/>
                <w:szCs w:val="14"/>
              </w:rPr>
            </w:pPr>
          </w:p>
        </w:tc>
        <w:tc>
          <w:tcPr>
            <w:tcW w:w="6516" w:type="dxa"/>
            <w:tcBorders>
              <w:top w:val="nil"/>
              <w:left w:val="nil"/>
              <w:bottom w:val="single" w:sz="4" w:space="0" w:color="auto"/>
              <w:right w:val="single" w:sz="4" w:space="0" w:color="auto"/>
            </w:tcBorders>
            <w:shd w:val="clear" w:color="auto" w:fill="auto"/>
            <w:vAlign w:val="center"/>
          </w:tcPr>
          <w:p w14:paraId="0CEC9634" w14:textId="77EB137B" w:rsidR="00D939CD" w:rsidRPr="00D939CD" w:rsidRDefault="00D939CD" w:rsidP="00B57BE7">
            <w:pPr>
              <w:spacing w:after="0" w:line="240" w:lineRule="auto"/>
              <w:rPr>
                <w:rFonts w:ascii="Arial" w:eastAsia="Times New Roman" w:hAnsi="Arial" w:cs="Arial"/>
                <w:b/>
                <w:bCs/>
                <w:color w:val="auto"/>
                <w:sz w:val="16"/>
                <w:szCs w:val="14"/>
                <w:u w:val="single"/>
              </w:rPr>
            </w:pPr>
            <w:r w:rsidRPr="00D939CD">
              <w:rPr>
                <w:rFonts w:ascii="Arial" w:eastAsia="Times New Roman" w:hAnsi="Arial" w:cs="Arial"/>
                <w:b/>
                <w:bCs/>
                <w:color w:val="auto"/>
                <w:sz w:val="16"/>
                <w:szCs w:val="14"/>
                <w:u w:val="single"/>
              </w:rPr>
              <w:t>Mantenimiento preventivo</w:t>
            </w:r>
            <w:r w:rsidRPr="00D939CD">
              <w:rPr>
                <w:rFonts w:ascii="Arial" w:eastAsia="Times New Roman" w:hAnsi="Arial" w:cs="Arial"/>
                <w:b/>
                <w:bCs/>
                <w:color w:val="auto"/>
                <w:sz w:val="16"/>
                <w:szCs w:val="14"/>
                <w:u w:val="single"/>
              </w:rPr>
              <w:t>:</w:t>
            </w:r>
          </w:p>
          <w:p w14:paraId="08EF34AB" w14:textId="7DF28AC8"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Limpieza general del motor.</w:t>
            </w:r>
          </w:p>
          <w:p w14:paraId="1398431C" w14:textId="5CC31CE1"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Limpieza general de componentes.</w:t>
            </w:r>
          </w:p>
          <w:p w14:paraId="39E8EDE2" w14:textId="4437D840"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dispositivos de control de combustible y lavado de tanques de combustible.</w:t>
            </w:r>
          </w:p>
          <w:p w14:paraId="2D5691E7" w14:textId="2D6FFA66"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Cambio de aceite y filtros de aceite de motor.</w:t>
            </w:r>
          </w:p>
          <w:p w14:paraId="37A6DD31" w14:textId="3BE5EB27"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cambio de filtros de aire de ser necesario.</w:t>
            </w:r>
          </w:p>
          <w:p w14:paraId="37F62B5A" w14:textId="7E7B17AC"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Evaluación de los parámetros y condiciones de operación de los grupos.</w:t>
            </w:r>
          </w:p>
          <w:p w14:paraId="7416490F" w14:textId="77777777"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lastRenderedPageBreak/>
              <w:t>- Comprobación de mecanismo de control de combustible</w:t>
            </w:r>
            <w:r w:rsidRPr="00D939CD">
              <w:rPr>
                <w:rFonts w:ascii="Arial" w:eastAsia="Times New Roman" w:hAnsi="Arial" w:cs="Arial"/>
                <w:color w:val="auto"/>
                <w:sz w:val="16"/>
                <w:szCs w:val="14"/>
              </w:rPr>
              <w:t>.</w:t>
            </w:r>
          </w:p>
          <w:p w14:paraId="7D95FA39" w14:textId="15FDBEBC"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Evaluación del turbo en operación.</w:t>
            </w:r>
          </w:p>
          <w:p w14:paraId="7CF4FDDB" w14:textId="428AF68F"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Calibración de válvulas (solo en caso de requerirse según diagnostico).</w:t>
            </w:r>
          </w:p>
          <w:p w14:paraId="05FE5C55" w14:textId="682191A1"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Sincronización de inyectores (solo en caso de requerirse según diagnostico).</w:t>
            </w:r>
          </w:p>
          <w:p w14:paraId="5C5843B4" w14:textId="6ADCCAD7"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funcionamiento de bombas de agua, bombas de aceite, bombas de combustible.</w:t>
            </w:r>
          </w:p>
          <w:p w14:paraId="0C466CB8" w14:textId="335E95E3"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Lavado de tanque de combustible (caso de requerirse según diagnostico).</w:t>
            </w:r>
          </w:p>
          <w:p w14:paraId="26ACC668" w14:textId="4EA90200"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carga del generador/alternador.</w:t>
            </w:r>
          </w:p>
          <w:p w14:paraId="4D61CCA4" w14:textId="44BEA05A"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pruebas de funcionamiento de los camiones grúa.</w:t>
            </w:r>
          </w:p>
          <w:p w14:paraId="2D51962D" w14:textId="601A7B2E"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 estado y pruebas del sistema de suspensión, dirección, y frenos.</w:t>
            </w:r>
          </w:p>
          <w:p w14:paraId="1355AF35" w14:textId="72F46F6C"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y pruebas del sistema eléctrico (encendido, alumbrado, direccionales, etc.).</w:t>
            </w:r>
          </w:p>
          <w:p w14:paraId="68E984E2" w14:textId="266368AA"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Verificación del estado de los neumáticos.</w:t>
            </w:r>
          </w:p>
          <w:p w14:paraId="0E8ACC5B" w14:textId="77777777" w:rsidR="00D939CD" w:rsidRPr="00D939CD" w:rsidRDefault="00D939CD" w:rsidP="00B57BE7">
            <w:pPr>
              <w:spacing w:after="0" w:line="240" w:lineRule="auto"/>
              <w:rPr>
                <w:rFonts w:ascii="Arial" w:eastAsia="Times New Roman" w:hAnsi="Arial" w:cs="Arial"/>
                <w:b/>
                <w:bCs/>
                <w:color w:val="auto"/>
                <w:sz w:val="16"/>
                <w:szCs w:val="14"/>
                <w:u w:val="single"/>
              </w:rPr>
            </w:pPr>
            <w:r w:rsidRPr="00D939CD">
              <w:rPr>
                <w:rFonts w:ascii="Arial" w:eastAsia="Times New Roman" w:hAnsi="Arial" w:cs="Arial"/>
                <w:b/>
                <w:bCs/>
                <w:color w:val="auto"/>
                <w:sz w:val="16"/>
                <w:szCs w:val="14"/>
                <w:u w:val="single"/>
              </w:rPr>
              <w:t>Observaciones:</w:t>
            </w:r>
          </w:p>
          <w:p w14:paraId="76B8E4A9" w14:textId="4EB300EC"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El contratista suministrará el aceite de motor requerido para el equipo de acuerdo con características señaladas en el numeral 4.1.1 de los términos de referencia.</w:t>
            </w:r>
          </w:p>
          <w:p w14:paraId="5241B089" w14:textId="44373C4B" w:rsidR="00D939CD" w:rsidRPr="00D939CD" w:rsidRDefault="00D939CD" w:rsidP="00B57BE7">
            <w:pPr>
              <w:spacing w:after="0" w:line="240" w:lineRule="auto"/>
              <w:rPr>
                <w:rFonts w:ascii="Arial" w:eastAsia="Times New Roman" w:hAnsi="Arial" w:cs="Arial"/>
                <w:color w:val="auto"/>
                <w:sz w:val="16"/>
                <w:szCs w:val="14"/>
              </w:rPr>
            </w:pPr>
            <w:r w:rsidRPr="00D939CD">
              <w:rPr>
                <w:rFonts w:ascii="Arial" w:eastAsia="Times New Roman" w:hAnsi="Arial" w:cs="Arial"/>
                <w:color w:val="auto"/>
                <w:sz w:val="16"/>
                <w:szCs w:val="14"/>
              </w:rPr>
              <w:t>- San Gabán S.A., suministrará los filtros requeridos para la correcta ejecución del servicio.</w:t>
            </w:r>
          </w:p>
        </w:tc>
        <w:tc>
          <w:tcPr>
            <w:tcW w:w="709" w:type="dxa"/>
            <w:vMerge/>
            <w:tcBorders>
              <w:left w:val="nil"/>
              <w:bottom w:val="single" w:sz="4" w:space="0" w:color="auto"/>
              <w:right w:val="single" w:sz="4" w:space="0" w:color="auto"/>
            </w:tcBorders>
            <w:shd w:val="clear" w:color="auto" w:fill="auto"/>
            <w:vAlign w:val="center"/>
          </w:tcPr>
          <w:p w14:paraId="3D1E5787" w14:textId="77777777" w:rsidR="00D939CD" w:rsidRPr="00CD3588" w:rsidRDefault="00D939CD" w:rsidP="00E16DEA">
            <w:pPr>
              <w:spacing w:after="0" w:line="240" w:lineRule="auto"/>
              <w:rPr>
                <w:rFonts w:ascii="Arial" w:eastAsia="Times New Roman" w:hAnsi="Arial" w:cs="Arial"/>
                <w:i/>
                <w:iCs/>
                <w:color w:val="auto"/>
                <w:sz w:val="18"/>
                <w:szCs w:val="16"/>
              </w:rPr>
            </w:pPr>
          </w:p>
        </w:tc>
        <w:tc>
          <w:tcPr>
            <w:tcW w:w="959" w:type="dxa"/>
            <w:vMerge/>
            <w:tcBorders>
              <w:left w:val="nil"/>
              <w:bottom w:val="single" w:sz="4" w:space="0" w:color="auto"/>
              <w:right w:val="single" w:sz="4" w:space="0" w:color="auto"/>
            </w:tcBorders>
            <w:shd w:val="clear" w:color="auto" w:fill="auto"/>
            <w:vAlign w:val="center"/>
          </w:tcPr>
          <w:p w14:paraId="5010B520" w14:textId="77777777" w:rsidR="00D939CD" w:rsidRPr="00CD3588" w:rsidRDefault="00D939CD" w:rsidP="00E16DEA">
            <w:pPr>
              <w:spacing w:after="0" w:line="240" w:lineRule="auto"/>
              <w:jc w:val="center"/>
              <w:rPr>
                <w:rFonts w:ascii="Arial" w:eastAsia="Times New Roman" w:hAnsi="Arial" w:cs="Arial"/>
                <w:i/>
                <w:iCs/>
                <w:color w:val="auto"/>
                <w:sz w:val="18"/>
                <w:szCs w:val="16"/>
              </w:rPr>
            </w:pPr>
          </w:p>
        </w:tc>
        <w:tc>
          <w:tcPr>
            <w:tcW w:w="1025" w:type="dxa"/>
            <w:vMerge/>
            <w:tcBorders>
              <w:left w:val="nil"/>
              <w:bottom w:val="single" w:sz="4" w:space="0" w:color="auto"/>
              <w:right w:val="single" w:sz="4" w:space="0" w:color="auto"/>
            </w:tcBorders>
            <w:shd w:val="clear" w:color="000000" w:fill="FFFFFF"/>
            <w:vAlign w:val="center"/>
          </w:tcPr>
          <w:p w14:paraId="2C0179B9"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c>
          <w:tcPr>
            <w:tcW w:w="992" w:type="dxa"/>
            <w:vMerge/>
            <w:tcBorders>
              <w:left w:val="nil"/>
              <w:bottom w:val="single" w:sz="4" w:space="0" w:color="auto"/>
              <w:right w:val="single" w:sz="4" w:space="0" w:color="auto"/>
            </w:tcBorders>
            <w:shd w:val="clear" w:color="000000" w:fill="FFFFFF"/>
            <w:vAlign w:val="center"/>
          </w:tcPr>
          <w:p w14:paraId="4FA773AA" w14:textId="77777777" w:rsidR="00D939CD" w:rsidRPr="00CD3588" w:rsidRDefault="00D939CD" w:rsidP="00E16DEA">
            <w:pPr>
              <w:spacing w:after="0" w:line="240" w:lineRule="auto"/>
              <w:jc w:val="center"/>
              <w:rPr>
                <w:rFonts w:ascii="Arial" w:eastAsia="Times New Roman" w:hAnsi="Arial" w:cs="Arial"/>
                <w:b/>
                <w:bCs/>
                <w:i/>
                <w:iCs/>
                <w:color w:val="auto"/>
                <w:sz w:val="18"/>
                <w:szCs w:val="16"/>
              </w:rPr>
            </w:pPr>
          </w:p>
        </w:tc>
      </w:tr>
      <w:tr w:rsidR="00A60FEA" w:rsidRPr="00CD3588" w14:paraId="560C7471" w14:textId="77777777" w:rsidTr="00D761FA">
        <w:trPr>
          <w:trHeight w:val="248"/>
        </w:trPr>
        <w:tc>
          <w:tcPr>
            <w:tcW w:w="875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025"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992"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D761FA">
        <w:trPr>
          <w:trHeight w:val="248"/>
        </w:trPr>
        <w:tc>
          <w:tcPr>
            <w:tcW w:w="875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025"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992"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shd w:val="clear" w:color="auto" w:fill="auto"/>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shd w:val="clear" w:color="auto" w:fill="auto"/>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shd w:val="clear" w:color="auto" w:fill="auto"/>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shd w:val="clear" w:color="auto" w:fill="auto"/>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70642A32"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2025</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D1FCD8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2" w15:restartNumberingAfterBreak="0">
    <w:nsid w:val="3E2A0B20"/>
    <w:multiLevelType w:val="hybridMultilevel"/>
    <w:tmpl w:val="42DC74FE"/>
    <w:lvl w:ilvl="0" w:tplc="7BFE4F4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DCFD75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F9045CE"/>
    <w:multiLevelType w:val="hybridMultilevel"/>
    <w:tmpl w:val="9F0C0A38"/>
    <w:lvl w:ilvl="0" w:tplc="C32AA1B2">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1"/>
  </w:num>
  <w:num w:numId="2" w16cid:durableId="1528177541">
    <w:abstractNumId w:val="4"/>
  </w:num>
  <w:num w:numId="3" w16cid:durableId="1991204304">
    <w:abstractNumId w:val="2"/>
  </w:num>
  <w:num w:numId="4" w16cid:durableId="907766569">
    <w:abstractNumId w:val="3"/>
  </w:num>
  <w:num w:numId="5" w16cid:durableId="2035497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46010"/>
    <w:rsid w:val="001540AE"/>
    <w:rsid w:val="002C6735"/>
    <w:rsid w:val="00384C94"/>
    <w:rsid w:val="00405603"/>
    <w:rsid w:val="00423CC8"/>
    <w:rsid w:val="0046680D"/>
    <w:rsid w:val="005E400A"/>
    <w:rsid w:val="00693C74"/>
    <w:rsid w:val="00912B74"/>
    <w:rsid w:val="00940479"/>
    <w:rsid w:val="00A60FEA"/>
    <w:rsid w:val="00B210C5"/>
    <w:rsid w:val="00B57BE7"/>
    <w:rsid w:val="00CA6EB0"/>
    <w:rsid w:val="00D20E30"/>
    <w:rsid w:val="00D761FA"/>
    <w:rsid w:val="00D939CD"/>
    <w:rsid w:val="00F02644"/>
    <w:rsid w:val="00F57404"/>
    <w:rsid w:val="00F7124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F7124D"/>
    <w:pPr>
      <w:ind w:left="720"/>
      <w:contextualSpacing/>
    </w:pPr>
  </w:style>
  <w:style w:type="paragraph" w:customStyle="1" w:styleId="Default">
    <w:name w:val="Default"/>
    <w:rsid w:val="00D761FA"/>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Pages>
  <Words>2598</Words>
  <Characters>14294</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8</cp:revision>
  <dcterms:created xsi:type="dcterms:W3CDTF">2024-03-08T14:18:00Z</dcterms:created>
  <dcterms:modified xsi:type="dcterms:W3CDTF">2025-05-14T16:11:00Z</dcterms:modified>
</cp:coreProperties>
</file>