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28B77FCE" w:rsidR="006C5746"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D4346B">
        <w:rPr>
          <w:rFonts w:ascii="Arial" w:hAnsi="Arial" w:cs="Arial"/>
          <w:color w:val="000000" w:themeColor="text1"/>
          <w:sz w:val="20"/>
        </w:rPr>
        <w:t>el</w:t>
      </w:r>
      <w:r w:rsidR="002773BE">
        <w:rPr>
          <w:rFonts w:ascii="Arial" w:hAnsi="Arial" w:cs="Arial"/>
          <w:color w:val="000000" w:themeColor="text1"/>
          <w:sz w:val="20"/>
        </w:rPr>
        <w:t xml:space="preserve"> </w:t>
      </w:r>
      <w:r w:rsidR="002773BE" w:rsidRPr="002773BE">
        <w:rPr>
          <w:rFonts w:ascii="Arial" w:hAnsi="Arial" w:cs="Arial"/>
          <w:color w:val="000000" w:themeColor="text1"/>
          <w:sz w:val="20"/>
        </w:rPr>
        <w:t xml:space="preserve">servicio </w:t>
      </w:r>
      <w:r w:rsidR="007633CE">
        <w:rPr>
          <w:rFonts w:ascii="Arial" w:hAnsi="Arial" w:cs="Arial"/>
          <w:color w:val="000000" w:themeColor="text1"/>
          <w:sz w:val="20"/>
        </w:rPr>
        <w:t xml:space="preserve">de </w:t>
      </w:r>
      <w:r w:rsidR="002C3179" w:rsidRPr="002C3179">
        <w:rPr>
          <w:rFonts w:ascii="Arial" w:hAnsi="Arial" w:cs="Arial"/>
          <w:color w:val="000000" w:themeColor="text1"/>
          <w:sz w:val="20"/>
        </w:rPr>
        <w:t>producción de avisos radiales</w:t>
      </w:r>
      <w:r w:rsidR="00D4346B">
        <w:rPr>
          <w:rFonts w:ascii="Arial" w:hAnsi="Arial" w:cs="Arial"/>
          <w:color w:val="000000" w:themeColor="text1"/>
          <w:sz w:val="20"/>
        </w:rPr>
        <w:t>.</w:t>
      </w:r>
    </w:p>
    <w:p w14:paraId="3550C18A" w14:textId="77777777" w:rsidR="00D4346B" w:rsidRPr="00D4344A"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33107392" w14:textId="77777777" w:rsidR="0038075C" w:rsidRPr="005E6ECC" w:rsidRDefault="0038075C" w:rsidP="00374381">
      <w:pPr>
        <w:widowControl w:val="0"/>
        <w:jc w:val="center"/>
        <w:rPr>
          <w:rFonts w:ascii="Arial" w:hAnsi="Arial" w:cs="Arial"/>
          <w:b/>
          <w:color w:val="EE0000"/>
          <w:sz w:val="24"/>
          <w:szCs w:val="24"/>
        </w:rPr>
      </w:pPr>
    </w:p>
    <w:p w14:paraId="26A6F885" w14:textId="56A88464" w:rsidR="0038075C" w:rsidRPr="005E6ECC" w:rsidRDefault="0038075C" w:rsidP="0038075C">
      <w:pPr>
        <w:widowControl w:val="0"/>
        <w:jc w:val="both"/>
        <w:rPr>
          <w:rFonts w:ascii="Arial" w:hAnsi="Arial" w:cs="Arial"/>
          <w:b/>
          <w:color w:val="EE0000"/>
          <w:sz w:val="24"/>
          <w:szCs w:val="24"/>
          <w:u w:val="single"/>
        </w:rPr>
      </w:pPr>
      <w:r w:rsidRPr="005E6ECC">
        <w:rPr>
          <w:rFonts w:ascii="Arial" w:hAnsi="Arial" w:cs="Arial"/>
          <w:b/>
          <w:color w:val="EE0000"/>
          <w:sz w:val="24"/>
          <w:szCs w:val="24"/>
          <w:u w:val="single"/>
        </w:rPr>
        <w:t>IMPORTANTE:</w:t>
      </w:r>
    </w:p>
    <w:p w14:paraId="477C2F24" w14:textId="77777777" w:rsidR="0038075C" w:rsidRPr="005E6ECC" w:rsidRDefault="0038075C" w:rsidP="0038075C">
      <w:pPr>
        <w:widowControl w:val="0"/>
        <w:jc w:val="both"/>
        <w:rPr>
          <w:rFonts w:ascii="Arial" w:hAnsi="Arial" w:cs="Arial"/>
          <w:b/>
          <w:color w:val="EE0000"/>
          <w:sz w:val="24"/>
          <w:szCs w:val="24"/>
        </w:rPr>
      </w:pPr>
    </w:p>
    <w:p w14:paraId="56EF008E" w14:textId="77777777" w:rsidR="005E6ECC" w:rsidRPr="005E6ECC" w:rsidRDefault="005E6ECC" w:rsidP="005E6ECC">
      <w:pPr>
        <w:jc w:val="both"/>
        <w:rPr>
          <w:rFonts w:ascii="Arial" w:hAnsi="Arial" w:cs="Arial"/>
          <w:b/>
          <w:bCs/>
          <w:color w:val="EE0000"/>
          <w:sz w:val="24"/>
          <w:szCs w:val="24"/>
        </w:rPr>
      </w:pPr>
      <w:r w:rsidRPr="005E6ECC">
        <w:rPr>
          <w:rFonts w:ascii="Arial" w:hAnsi="Arial" w:cs="Arial"/>
          <w:b/>
          <w:bCs/>
          <w:color w:val="EE0000"/>
          <w:sz w:val="24"/>
          <w:szCs w:val="24"/>
        </w:rPr>
        <w:t xml:space="preserve">El proveedor deberá haber ejecutado al menos dos (2) servicios de grabación de avisos y/o locuciones radiales a partir del 1 de enero de 2025, </w:t>
      </w:r>
    </w:p>
    <w:p w14:paraId="3B63AC08" w14:textId="77777777" w:rsidR="005E6ECC" w:rsidRPr="005E6ECC" w:rsidRDefault="005E6ECC" w:rsidP="005E6ECC">
      <w:pPr>
        <w:jc w:val="both"/>
        <w:rPr>
          <w:rFonts w:ascii="Arial" w:hAnsi="Arial" w:cs="Arial"/>
          <w:b/>
          <w:bCs/>
          <w:color w:val="EE0000"/>
          <w:sz w:val="24"/>
          <w:szCs w:val="24"/>
        </w:rPr>
      </w:pPr>
    </w:p>
    <w:p w14:paraId="7DDD30DD" w14:textId="709E4CA2" w:rsidR="00E95D8A" w:rsidRDefault="005E6ECC" w:rsidP="009B5761">
      <w:pPr>
        <w:jc w:val="both"/>
        <w:rPr>
          <w:lang w:val="es-ES_tradnl"/>
        </w:rPr>
      </w:pPr>
      <w:r w:rsidRPr="005E6ECC">
        <w:rPr>
          <w:rFonts w:ascii="Arial" w:hAnsi="Arial" w:cs="Arial"/>
          <w:b/>
          <w:bCs/>
          <w:color w:val="EE0000"/>
          <w:sz w:val="24"/>
          <w:szCs w:val="24"/>
        </w:rPr>
        <w:t>La experiencia debe acreditarse mediante la presentación de copia simple de contratos u órdenes de compra, y su respectiva conformidad por la prestación efectuada; o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5E6ECC">
        <w:rPr>
          <w:rStyle w:val="Refdenotaalpie"/>
          <w:rFonts w:ascii="Arial" w:hAnsi="Arial" w:cs="Arial"/>
          <w:b/>
          <w:bCs/>
          <w:color w:val="EE0000"/>
          <w:sz w:val="24"/>
          <w:szCs w:val="24"/>
        </w:rPr>
        <w:footnoteReference w:id="1"/>
      </w:r>
      <w:r w:rsidRPr="005E6ECC">
        <w:rPr>
          <w:rFonts w:ascii="Arial" w:hAnsi="Arial" w:cs="Arial"/>
          <w:b/>
          <w:bCs/>
          <w:color w:val="EE0000"/>
          <w:sz w:val="24"/>
          <w:szCs w:val="24"/>
        </w:rPr>
        <w:t xml:space="preserve"> o comprobante de retención electrónico emitido por SUNAT por la retención del IGV.</w:t>
      </w:r>
      <w:bookmarkStart w:id="0" w:name="_Toc15993045"/>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8117" w14:textId="77777777" w:rsidR="004045D9" w:rsidRDefault="004045D9">
      <w:r>
        <w:separator/>
      </w:r>
    </w:p>
  </w:endnote>
  <w:endnote w:type="continuationSeparator" w:id="0">
    <w:p w14:paraId="7B3ED77E" w14:textId="77777777" w:rsidR="004045D9" w:rsidRDefault="0040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83F7A" w14:textId="77777777" w:rsidR="004045D9" w:rsidRDefault="004045D9">
      <w:r>
        <w:separator/>
      </w:r>
    </w:p>
  </w:footnote>
  <w:footnote w:type="continuationSeparator" w:id="0">
    <w:p w14:paraId="1A34B0CF" w14:textId="77777777" w:rsidR="004045D9" w:rsidRDefault="004045D9">
      <w:r>
        <w:continuationSeparator/>
      </w:r>
    </w:p>
  </w:footnote>
  <w:footnote w:id="1">
    <w:p w14:paraId="74C82683" w14:textId="77777777" w:rsidR="005E6ECC" w:rsidRPr="00C91CF7" w:rsidRDefault="005E6ECC" w:rsidP="005E6ECC">
      <w:pPr>
        <w:pStyle w:val="Textonotapie"/>
        <w:tabs>
          <w:tab w:val="left" w:pos="142"/>
        </w:tabs>
        <w:ind w:left="142" w:hanging="142"/>
        <w:jc w:val="both"/>
        <w:rPr>
          <w:rFonts w:ascii="Arial Narrow" w:eastAsia="Times New Roman" w:hAnsi="Arial Narrow" w:cs="Arial"/>
          <w:sz w:val="16"/>
          <w:szCs w:val="16"/>
          <w:lang w:eastAsia="en-GB"/>
        </w:rPr>
      </w:pPr>
      <w:r w:rsidRPr="00C91CF7">
        <w:rPr>
          <w:rStyle w:val="Refdenotaalpie"/>
          <w:rFonts w:ascii="Arial Narrow" w:hAnsi="Arial Narrow" w:cs="Arial"/>
          <w:sz w:val="16"/>
          <w:szCs w:val="16"/>
        </w:rPr>
        <w:footnoteRef/>
      </w:r>
      <w:r w:rsidRPr="00C91CF7">
        <w:rPr>
          <w:rFonts w:ascii="Arial Narrow" w:hAnsi="Arial Narrow" w:cs="Arial"/>
          <w:sz w:val="16"/>
          <w:szCs w:val="16"/>
        </w:rPr>
        <w:t xml:space="preserve"> </w:t>
      </w:r>
      <w:r w:rsidRPr="00C91CF7">
        <w:rPr>
          <w:rFonts w:ascii="Arial Narrow" w:eastAsia="Times New Roman" w:hAnsi="Arial Narrow" w:cs="Arial"/>
          <w:sz w:val="16"/>
          <w:szCs w:val="16"/>
          <w:lang w:eastAsia="en-GB"/>
        </w:rPr>
        <w:t>El solo sello de cancelado en el comprobante, cuando ha sido colocado por el propio postor, no puede ser considerado como una acreditación que produzca fehaciencia con relación a que se encuentra cancelado. Es válido el sello colocado por el cliente del postor (sea utilizando el término “cancelado” o “pagado”).</w:t>
      </w:r>
    </w:p>
    <w:p w14:paraId="3D7A7437" w14:textId="77777777" w:rsidR="005E6ECC" w:rsidRDefault="005E6ECC" w:rsidP="005E6ECC">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4CC"/>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2A46"/>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179"/>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75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5D9"/>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0E83"/>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6ECC"/>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190"/>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61E6"/>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761"/>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6F9"/>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1DF"/>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186</Words>
  <Characters>1066</Characters>
  <Application>Microsoft Office Word</Application>
  <DocSecurity>0</DocSecurity>
  <Lines>53</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290</cp:revision>
  <cp:lastPrinted>2016-08-17T17:53:00Z</cp:lastPrinted>
  <dcterms:created xsi:type="dcterms:W3CDTF">2022-02-03T23:04:00Z</dcterms:created>
  <dcterms:modified xsi:type="dcterms:W3CDTF">2026-01-29T20:13:00Z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