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E12039">
      <w:pPr>
        <w:spacing w:after="200" w:line="276" w:lineRule="auto"/>
        <w:ind w:left="567" w:right="709"/>
        <w:jc w:val="center"/>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T</w:t>
      </w:r>
      <w:bookmarkStart w:id="6" w:name="_GoBack"/>
      <w:bookmarkEnd w:id="6"/>
      <w:r>
        <w:rPr>
          <w:rFonts w:ascii="Arial" w:hAnsi="Arial" w:eastAsia="Times New Roman" w:cs="Arial"/>
          <w:b/>
          <w:kern w:val="0"/>
          <w:sz w:val="20"/>
          <w:szCs w:val="20"/>
          <w:highlight w:val="none"/>
          <w:lang w:val="es-ES" w:eastAsia="es-PE"/>
          <w14:ligatures w14:val="none"/>
        </w:rPr>
        <w:t>ERMINOS DE REFERENCIA PARA LA CONTRATAC</w:t>
      </w:r>
      <w:r>
        <w:rPr>
          <w:rFonts w:hint="default" w:ascii="Arial" w:hAnsi="Arial" w:eastAsia="Times New Roman" w:cs="Arial"/>
          <w:b/>
          <w:kern w:val="0"/>
          <w:sz w:val="20"/>
          <w:szCs w:val="20"/>
          <w:highlight w:val="none"/>
          <w:lang w:val="es-ES" w:eastAsia="es-PE"/>
          <w14:ligatures w14:val="none"/>
        </w:rPr>
        <w:t>IO</w:t>
      </w:r>
      <w:r>
        <w:rPr>
          <w:rFonts w:ascii="Arial" w:hAnsi="Arial" w:eastAsia="Times New Roman" w:cs="Arial"/>
          <w:b/>
          <w:kern w:val="0"/>
          <w:sz w:val="20"/>
          <w:szCs w:val="20"/>
          <w:highlight w:val="none"/>
          <w:lang w:val="es-ES" w:eastAsia="es-PE"/>
          <w14:ligatures w14:val="none"/>
        </w:rPr>
        <w:t>N DE LOCADOR DE SERVICIO</w:t>
      </w:r>
    </w:p>
    <w:p w14:paraId="639E315A">
      <w:pPr>
        <w:numPr>
          <w:ilvl w:val="0"/>
          <w:numId w:val="1"/>
        </w:numPr>
        <w:spacing w:after="0" w:line="360" w:lineRule="auto"/>
        <w:ind w:left="567" w:right="425"/>
        <w:contextualSpacing/>
        <w:jc w:val="both"/>
        <w:rPr>
          <w:rFonts w:ascii="Arial" w:hAnsi="Arial" w:eastAsia="Times New Roman" w:cs="Arial"/>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AREA USUARIA</w:t>
      </w:r>
    </w:p>
    <w:p w14:paraId="46D83345">
      <w:pPr>
        <w:spacing w:after="0" w:line="276" w:lineRule="auto"/>
        <w:ind w:right="425" w:firstLine="567"/>
        <w:contextualSpacing/>
        <w:jc w:val="both"/>
        <w:rPr>
          <w:rFonts w:ascii="Arial" w:hAnsi="Arial" w:eastAsia="Times New Roman" w:cs="Arial"/>
          <w:bCs/>
          <w:kern w:val="0"/>
          <w:sz w:val="20"/>
          <w:szCs w:val="20"/>
          <w:highlight w:val="none"/>
          <w:lang w:eastAsia="es-PE"/>
          <w14:ligatures w14:val="none"/>
        </w:rPr>
      </w:pPr>
      <w:r>
        <w:rPr>
          <w:rFonts w:ascii="Arial" w:hAnsi="Arial" w:eastAsia="Times New Roman" w:cs="Arial"/>
          <w:bCs/>
          <w:kern w:val="0"/>
          <w:sz w:val="20"/>
          <w:szCs w:val="20"/>
          <w:highlight w:val="none"/>
          <w:lang w:val="es-ES" w:eastAsia="es-PE"/>
          <w14:ligatures w14:val="none"/>
        </w:rPr>
        <w:t>Consejo Regional - Secretaría del Consejo Regional de Ucayali</w:t>
      </w:r>
      <w:r>
        <w:rPr>
          <w:rFonts w:ascii="Arial" w:hAnsi="Arial" w:eastAsia="Times New Roman" w:cs="Arial"/>
          <w:bCs/>
          <w:kern w:val="0"/>
          <w:sz w:val="20"/>
          <w:szCs w:val="20"/>
          <w:highlight w:val="none"/>
          <w:lang w:eastAsia="es-PE"/>
          <w14:ligatures w14:val="none"/>
        </w:rPr>
        <w:t>.</w:t>
      </w:r>
    </w:p>
    <w:p w14:paraId="6F33B548">
      <w:pPr>
        <w:spacing w:after="0" w:line="276" w:lineRule="auto"/>
        <w:ind w:right="425" w:firstLine="567"/>
        <w:contextualSpacing/>
        <w:jc w:val="both"/>
        <w:rPr>
          <w:rFonts w:ascii="Arial" w:hAnsi="Arial" w:eastAsia="Times New Roman" w:cs="Arial"/>
          <w:bCs/>
          <w:kern w:val="0"/>
          <w:sz w:val="20"/>
          <w:szCs w:val="20"/>
          <w:highlight w:val="none"/>
          <w:lang w:val="es-ES" w:eastAsia="es-PE"/>
          <w14:ligatures w14:val="none"/>
        </w:rPr>
      </w:pPr>
    </w:p>
    <w:p w14:paraId="2DBE757B">
      <w:pPr>
        <w:numPr>
          <w:ilvl w:val="0"/>
          <w:numId w:val="1"/>
        </w:numPr>
        <w:spacing w:before="240" w:after="200" w:line="360"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DENOMINACION DE LA CONTRATACION</w:t>
      </w:r>
    </w:p>
    <w:p w14:paraId="7EADBFEE">
      <w:pPr>
        <w:spacing w:before="240" w:after="200" w:line="240"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hint="default" w:ascii="Arial" w:hAnsi="Arial" w:cs="Arial"/>
          <w:bCs/>
          <w:highlight w:val="none"/>
          <w:lang w:val="es-ES"/>
        </w:rPr>
        <w:t xml:space="preserve">Contratación de servicio como: Asistente Juridico </w:t>
      </w:r>
      <w:r>
        <w:rPr>
          <w:rFonts w:ascii="Arial" w:hAnsi="Arial" w:cs="Arial"/>
          <w:bCs/>
          <w:highlight w:val="none"/>
          <w:lang w:val="es-ES"/>
        </w:rPr>
        <w:t xml:space="preserve"> </w:t>
      </w:r>
      <w:r>
        <w:rPr>
          <w:rFonts w:hint="default" w:ascii="Arial" w:hAnsi="Arial" w:cs="Arial"/>
          <w:bCs/>
          <w:highlight w:val="none"/>
          <w:lang w:val="es-ES"/>
        </w:rPr>
        <w:t>p</w:t>
      </w:r>
      <w:r>
        <w:rPr>
          <w:rFonts w:ascii="Arial" w:hAnsi="Arial" w:cs="Arial"/>
          <w:bCs/>
          <w:highlight w:val="none"/>
          <w:lang w:val="es-ES"/>
        </w:rPr>
        <w:t>a</w:t>
      </w:r>
      <w:r>
        <w:rPr>
          <w:rFonts w:hint="default" w:ascii="Arial" w:hAnsi="Arial" w:cs="Arial"/>
          <w:bCs/>
          <w:highlight w:val="none"/>
          <w:lang w:val="es-ES"/>
        </w:rPr>
        <w:t>ra</w:t>
      </w:r>
      <w:r>
        <w:rPr>
          <w:rFonts w:ascii="Arial" w:hAnsi="Arial" w:cs="Arial"/>
          <w:bCs/>
          <w:highlight w:val="none"/>
          <w:lang w:val="es-ES"/>
        </w:rPr>
        <w:t xml:space="preserve"> la actividad de Fiscalización del Consejo Regional de Ucayali en el Proyecto Denominado:</w:t>
      </w:r>
      <w:r>
        <w:rPr>
          <w:rFonts w:hint="default" w:ascii="Arial" w:hAnsi="Arial" w:cs="Arial"/>
          <w:bCs/>
          <w:highlight w:val="none"/>
          <w:lang w:val="es-ES"/>
        </w:rPr>
        <w:t xml:space="preserve"> </w:t>
      </w:r>
      <w:r>
        <w:rPr>
          <w:rFonts w:hint="default" w:ascii="Arial" w:hAnsi="Arial" w:cs="Arial"/>
          <w:b/>
          <w:bCs/>
          <w:sz w:val="22"/>
          <w:szCs w:val="22"/>
          <w:highlight w:val="none"/>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highlight w:val="none"/>
          <w:shd w:val="clear" w:color="auto" w:fill="FFFFFF" w:themeFill="background1"/>
          <w:lang w:val="es-ES"/>
          <w14:textFill>
            <w14:solidFill>
              <w14:schemeClr w14:val="tx1"/>
            </w14:solidFill>
          </w14:textFill>
        </w:rPr>
        <w:t xml:space="preserve">”,  </w:t>
      </w:r>
      <w:r>
        <w:rPr>
          <w:rFonts w:hint="default" w:ascii="Arial" w:hAnsi="Arial" w:cs="Arial"/>
          <w:bCs/>
          <w:i/>
          <w:iCs/>
          <w:highlight w:val="none"/>
          <w:lang w:val="es-ES"/>
        </w:rPr>
        <w:t xml:space="preserve"> </w:t>
      </w:r>
      <w:r>
        <w:rPr>
          <w:rFonts w:ascii="Arial" w:hAnsi="Arial" w:cs="Arial"/>
          <w:bCs/>
          <w:highlight w:val="none"/>
        </w:rPr>
        <w:t xml:space="preserve">con CUI N° </w:t>
      </w:r>
      <w:r>
        <w:rPr>
          <w:rFonts w:ascii="Arial" w:hAnsi="Arial" w:cs="Arial"/>
          <w:b/>
          <w:bCs/>
          <w:i/>
          <w:iCs/>
          <w:sz w:val="24"/>
          <w:highlight w:val="none"/>
        </w:rPr>
        <w:t>2</w:t>
      </w:r>
      <w:r>
        <w:rPr>
          <w:rFonts w:hint="default" w:ascii="Arial" w:hAnsi="Arial" w:cs="Arial"/>
          <w:b/>
          <w:bCs/>
          <w:i/>
          <w:iCs/>
          <w:sz w:val="24"/>
          <w:highlight w:val="none"/>
          <w:lang w:val="es-ES"/>
        </w:rPr>
        <w:t>327261</w:t>
      </w:r>
      <w:r>
        <w:rPr>
          <w:rFonts w:ascii="Arial" w:hAnsi="Arial" w:eastAsia="Times New Roman" w:cs="Arial"/>
          <w:bCs/>
          <w:kern w:val="0"/>
          <w:sz w:val="20"/>
          <w:szCs w:val="20"/>
          <w:highlight w:val="none"/>
          <w:lang w:val="es-ES" w:eastAsia="es-PE"/>
          <w14:ligatures w14:val="none"/>
        </w:rPr>
        <w:t>,</w:t>
      </w:r>
      <w:r>
        <w:rPr>
          <w:rFonts w:ascii="Arial" w:hAnsi="Arial" w:eastAsia="Times New Roman" w:cs="Arial"/>
          <w:bCs/>
          <w:kern w:val="0"/>
          <w:sz w:val="20"/>
          <w:szCs w:val="20"/>
          <w:highlight w:val="none"/>
          <w:lang w:eastAsia="es-PE"/>
          <w14:ligatures w14:val="none"/>
        </w:rPr>
        <w:t xml:space="preserve"> realizado en virtud al Acuerdo Regional N°</w:t>
      </w:r>
      <w:r>
        <w:rPr>
          <w:rFonts w:hint="default" w:ascii="Arial" w:hAnsi="Arial" w:eastAsia="Times New Roman" w:cs="Arial"/>
          <w:bCs/>
          <w:kern w:val="0"/>
          <w:sz w:val="20"/>
          <w:szCs w:val="20"/>
          <w:highlight w:val="none"/>
          <w:lang w:val="es-ES" w:eastAsia="es-PE"/>
          <w14:ligatures w14:val="none"/>
        </w:rPr>
        <w:t xml:space="preserve"> 015</w:t>
      </w:r>
      <w:r>
        <w:rPr>
          <w:rFonts w:ascii="Arial" w:hAnsi="Arial" w:eastAsia="Times New Roman" w:cs="Arial"/>
          <w:bCs/>
          <w:kern w:val="0"/>
          <w:sz w:val="20"/>
          <w:szCs w:val="20"/>
          <w:highlight w:val="none"/>
          <w:lang w:eastAsia="es-PE"/>
          <w14:ligatures w14:val="none"/>
        </w:rPr>
        <w:t>-202</w:t>
      </w:r>
      <w:r>
        <w:rPr>
          <w:rFonts w:hint="default" w:ascii="Arial" w:hAnsi="Arial" w:eastAsia="Times New Roman" w:cs="Arial"/>
          <w:bCs/>
          <w:kern w:val="0"/>
          <w:sz w:val="20"/>
          <w:szCs w:val="20"/>
          <w:highlight w:val="none"/>
          <w:lang w:val="es-ES" w:eastAsia="es-PE"/>
          <w14:ligatures w14:val="none"/>
        </w:rPr>
        <w:t>6</w:t>
      </w:r>
      <w:r>
        <w:rPr>
          <w:rFonts w:ascii="Arial" w:hAnsi="Arial" w:eastAsia="Times New Roman" w:cs="Arial"/>
          <w:bCs/>
          <w:kern w:val="0"/>
          <w:sz w:val="20"/>
          <w:szCs w:val="20"/>
          <w:highlight w:val="none"/>
          <w:lang w:eastAsia="es-PE"/>
          <w14:ligatures w14:val="none"/>
        </w:rPr>
        <w:t>-GRU-CR.</w:t>
      </w:r>
    </w:p>
    <w:p w14:paraId="6AA8FBE7">
      <w:pPr>
        <w:spacing w:before="240" w:after="200" w:line="240" w:lineRule="auto"/>
        <w:ind w:left="567" w:right="425"/>
        <w:contextualSpacing/>
        <w:jc w:val="both"/>
        <w:rPr>
          <w:rFonts w:ascii="Arial" w:hAnsi="Arial" w:eastAsia="Times New Roman" w:cs="Arial"/>
          <w:bCs/>
          <w:kern w:val="0"/>
          <w:sz w:val="20"/>
          <w:szCs w:val="20"/>
          <w:highlight w:val="none"/>
          <w:lang w:val="es-ES" w:eastAsia="es-PE"/>
          <w14:ligatures w14:val="none"/>
        </w:rPr>
      </w:pPr>
    </w:p>
    <w:p w14:paraId="6FD4C33A">
      <w:pPr>
        <w:numPr>
          <w:ilvl w:val="0"/>
          <w:numId w:val="1"/>
        </w:numPr>
        <w:spacing w:before="240" w:after="200" w:line="360"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FINALIDAD PÚBLICA:</w:t>
      </w:r>
    </w:p>
    <w:p w14:paraId="50528101">
      <w:pPr>
        <w:spacing w:before="240" w:after="200" w:line="240" w:lineRule="auto"/>
        <w:ind w:left="567" w:right="425"/>
        <w:contextualSpacing/>
        <w:jc w:val="both"/>
        <w:rPr>
          <w:rFonts w:ascii="Arial" w:hAnsi="Arial" w:eastAsia="Times New Roman" w:cs="Arial"/>
          <w:bCs/>
          <w:kern w:val="0"/>
          <w:sz w:val="20"/>
          <w:szCs w:val="20"/>
          <w:highlight w:val="none"/>
          <w:lang w:eastAsia="es-PE"/>
          <w14:ligatures w14:val="none"/>
        </w:rPr>
      </w:pPr>
      <w:r>
        <w:rPr>
          <w:rFonts w:ascii="Arial" w:hAnsi="Arial" w:eastAsia="Times New Roman" w:cs="Arial"/>
          <w:bCs/>
          <w:kern w:val="0"/>
          <w:sz w:val="20"/>
          <w:szCs w:val="20"/>
          <w:highlight w:val="none"/>
          <w:lang w:val="es-ES" w:eastAsia="es-PE"/>
          <w14:ligatures w14:val="none"/>
        </w:rPr>
        <w:t xml:space="preserve">La contratación de este servicio tiene por finalidad brindar asistencia técnica legal al Proceso de Fiscalización de Consejo Regional de Ucayali asegurando el avance, la calidad de ejecución, el uso adecuado de los recursos asignados y el cumplimiento los parámetros dentro de la ley establecidos en el proyecto denominado </w:t>
      </w:r>
      <w:r>
        <w:rPr>
          <w:rFonts w:hint="default" w:ascii="Arial" w:hAnsi="Arial" w:cs="Arial"/>
          <w:b/>
          <w:bCs/>
          <w:sz w:val="22"/>
          <w:szCs w:val="22"/>
          <w:highlight w:val="none"/>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highlight w:val="none"/>
          <w:shd w:val="clear" w:color="auto" w:fill="FFFFFF" w:themeFill="background1"/>
          <w:lang w:val="es-ES"/>
          <w14:textFill>
            <w14:solidFill>
              <w14:schemeClr w14:val="tx1"/>
            </w14:solidFill>
          </w14:textFill>
        </w:rPr>
        <w:t xml:space="preserve">”, </w:t>
      </w:r>
      <w:r>
        <w:rPr>
          <w:rFonts w:ascii="Arial" w:hAnsi="Arial" w:cs="Arial"/>
          <w:bCs/>
          <w:highlight w:val="none"/>
        </w:rPr>
        <w:t xml:space="preserve">con CUI N° </w:t>
      </w:r>
      <w:r>
        <w:rPr>
          <w:rFonts w:ascii="Arial" w:hAnsi="Arial" w:cs="Arial"/>
          <w:b/>
          <w:bCs/>
          <w:i/>
          <w:iCs/>
          <w:sz w:val="24"/>
          <w:highlight w:val="none"/>
        </w:rPr>
        <w:t>2</w:t>
      </w:r>
      <w:r>
        <w:rPr>
          <w:rFonts w:hint="default" w:ascii="Arial" w:hAnsi="Arial" w:cs="Arial"/>
          <w:b/>
          <w:bCs/>
          <w:i/>
          <w:iCs/>
          <w:sz w:val="24"/>
          <w:highlight w:val="none"/>
          <w:lang w:val="es-ES"/>
        </w:rPr>
        <w:t>327261</w:t>
      </w:r>
      <w:r>
        <w:rPr>
          <w:rFonts w:ascii="Arial" w:hAnsi="Arial" w:eastAsia="Times New Roman" w:cs="Arial"/>
          <w:bCs/>
          <w:kern w:val="0"/>
          <w:sz w:val="20"/>
          <w:szCs w:val="20"/>
          <w:highlight w:val="none"/>
          <w:lang w:val="es-ES" w:eastAsia="es-PE"/>
          <w14:ligatures w14:val="none"/>
        </w:rPr>
        <w:t>.</w:t>
      </w:r>
      <w:r>
        <w:rPr>
          <w:rFonts w:hint="default" w:ascii="Arial" w:hAnsi="Arial" w:eastAsia="Times New Roman" w:cs="Arial"/>
          <w:bCs/>
          <w:kern w:val="0"/>
          <w:sz w:val="20"/>
          <w:szCs w:val="20"/>
          <w:highlight w:val="none"/>
          <w:lang w:val="es-ES" w:eastAsia="es-PE"/>
          <w14:ligatures w14:val="none"/>
        </w:rPr>
        <w:t xml:space="preserve"> </w:t>
      </w:r>
      <w:r>
        <w:rPr>
          <w:rFonts w:ascii="Arial" w:hAnsi="Arial" w:eastAsia="Times New Roman" w:cs="Arial"/>
          <w:bCs/>
          <w:i/>
          <w:iCs/>
          <w:kern w:val="0"/>
          <w:sz w:val="20"/>
          <w:szCs w:val="20"/>
          <w:highlight w:val="none"/>
          <w:lang w:eastAsia="es-PE"/>
          <w14:ligatures w14:val="none"/>
        </w:rPr>
        <w:t>(en adelante el proyecto)</w:t>
      </w:r>
      <w:r>
        <w:rPr>
          <w:rFonts w:ascii="Arial" w:hAnsi="Arial" w:eastAsia="Times New Roman" w:cs="Arial"/>
          <w:bCs/>
          <w:kern w:val="0"/>
          <w:sz w:val="20"/>
          <w:szCs w:val="20"/>
          <w:highlight w:val="none"/>
          <w:lang w:val="es-ES" w:eastAsia="es-PE"/>
          <w14:ligatures w14:val="none"/>
        </w:rPr>
        <w:t xml:space="preserve">, </w:t>
      </w:r>
      <w:r>
        <w:rPr>
          <w:rFonts w:ascii="Arial" w:hAnsi="Arial" w:eastAsia="Times New Roman" w:cs="Arial"/>
          <w:bCs/>
          <w:color w:val="111111"/>
          <w:kern w:val="0"/>
          <w:sz w:val="20"/>
          <w:szCs w:val="20"/>
          <w:highlight w:val="none"/>
          <w:lang w:eastAsia="es-PE"/>
          <w14:ligatures w14:val="none"/>
        </w:rPr>
        <w:t xml:space="preserve">para garantizar la eficiencia, </w:t>
      </w:r>
      <w:bookmarkStart w:id="0" w:name="_Hlk208579653"/>
      <w:r>
        <w:rPr>
          <w:rFonts w:ascii="Arial" w:hAnsi="Arial" w:eastAsia="Times New Roman" w:cs="Arial"/>
          <w:bCs/>
          <w:color w:val="111111"/>
          <w:kern w:val="0"/>
          <w:sz w:val="20"/>
          <w:szCs w:val="20"/>
          <w:highlight w:val="none"/>
          <w:lang w:eastAsia="es-PE"/>
          <w14:ligatures w14:val="none"/>
        </w:rPr>
        <w:t>transparencia y correcta gestión de los recursos públicos</w:t>
      </w:r>
      <w:r>
        <w:rPr>
          <w:rFonts w:ascii="Arial" w:hAnsi="Arial" w:eastAsia="Times New Roman" w:cs="Arial"/>
          <w:bCs/>
          <w:kern w:val="0"/>
          <w:sz w:val="20"/>
          <w:szCs w:val="20"/>
          <w:highlight w:val="none"/>
          <w:lang w:eastAsia="es-PE"/>
          <w14:ligatures w14:val="none"/>
        </w:rPr>
        <w:t>,</w:t>
      </w:r>
      <w:bookmarkEnd w:id="0"/>
      <w:r>
        <w:rPr>
          <w:rFonts w:ascii="Arial" w:hAnsi="Arial" w:eastAsia="Times New Roman" w:cs="Arial"/>
          <w:bCs/>
          <w:kern w:val="0"/>
          <w:sz w:val="20"/>
          <w:szCs w:val="20"/>
          <w:highlight w:val="none"/>
          <w:lang w:eastAsia="es-PE"/>
          <w14:ligatures w14:val="none"/>
        </w:rPr>
        <w:t xml:space="preserve"> a efectos de fortalecer el ejercicio de la función de fiscalización que señala la Ley 31433 que modifica la Ley 27867, Ley Orgánica de Gobiernos Regionales, (…) de dar cumplimiento al </w:t>
      </w:r>
      <w:r>
        <w:rPr>
          <w:rFonts w:ascii="Arial" w:hAnsi="Arial" w:eastAsia="Times New Roman" w:cs="Arial"/>
          <w:b/>
          <w:kern w:val="0"/>
          <w:sz w:val="20"/>
          <w:szCs w:val="20"/>
          <w:highlight w:val="none"/>
          <w:lang w:eastAsia="es-PE"/>
          <w14:ligatures w14:val="none"/>
        </w:rPr>
        <w:t>Acuerdo Regional N°</w:t>
      </w:r>
      <w:r>
        <w:rPr>
          <w:rFonts w:hint="default" w:ascii="Arial" w:hAnsi="Arial" w:eastAsia="Times New Roman" w:cs="Arial"/>
          <w:b/>
          <w:kern w:val="0"/>
          <w:sz w:val="20"/>
          <w:szCs w:val="20"/>
          <w:highlight w:val="none"/>
          <w:lang w:val="es-ES" w:eastAsia="es-PE"/>
          <w14:ligatures w14:val="none"/>
        </w:rPr>
        <w:t xml:space="preserve"> 015</w:t>
      </w:r>
      <w:r>
        <w:rPr>
          <w:rFonts w:ascii="Arial" w:hAnsi="Arial" w:eastAsia="Times New Roman" w:cs="Arial"/>
          <w:b/>
          <w:kern w:val="0"/>
          <w:sz w:val="20"/>
          <w:szCs w:val="20"/>
          <w:highlight w:val="none"/>
          <w:lang w:eastAsia="es-PE"/>
          <w14:ligatures w14:val="none"/>
        </w:rPr>
        <w:t>-202</w:t>
      </w:r>
      <w:r>
        <w:rPr>
          <w:rFonts w:hint="default" w:ascii="Arial" w:hAnsi="Arial" w:eastAsia="Times New Roman" w:cs="Arial"/>
          <w:b/>
          <w:kern w:val="0"/>
          <w:sz w:val="20"/>
          <w:szCs w:val="20"/>
          <w:highlight w:val="none"/>
          <w:lang w:val="es-ES" w:eastAsia="es-PE"/>
          <w14:ligatures w14:val="none"/>
        </w:rPr>
        <w:t>6</w:t>
      </w:r>
      <w:r>
        <w:rPr>
          <w:rFonts w:ascii="Arial" w:hAnsi="Arial" w:eastAsia="Times New Roman" w:cs="Arial"/>
          <w:b/>
          <w:kern w:val="0"/>
          <w:sz w:val="20"/>
          <w:szCs w:val="20"/>
          <w:highlight w:val="none"/>
          <w:lang w:eastAsia="es-PE"/>
          <w14:ligatures w14:val="none"/>
        </w:rPr>
        <w:t>- GRU-CR.</w:t>
      </w:r>
    </w:p>
    <w:p w14:paraId="082BE3CD">
      <w:pPr>
        <w:spacing w:before="240" w:after="200" w:line="360" w:lineRule="auto"/>
        <w:ind w:left="567" w:right="425"/>
        <w:contextualSpacing/>
        <w:jc w:val="both"/>
        <w:rPr>
          <w:rFonts w:ascii="Arial" w:hAnsi="Arial" w:eastAsia="Times New Roman" w:cs="Arial"/>
          <w:bCs/>
          <w:kern w:val="0"/>
          <w:sz w:val="20"/>
          <w:szCs w:val="20"/>
          <w:highlight w:val="none"/>
          <w:lang w:val="es-ES" w:eastAsia="es-PE"/>
          <w14:ligatures w14:val="none"/>
        </w:rPr>
      </w:pPr>
    </w:p>
    <w:p w14:paraId="16CEDA2F">
      <w:pPr>
        <w:numPr>
          <w:ilvl w:val="0"/>
          <w:numId w:val="1"/>
        </w:numPr>
        <w:spacing w:before="240" w:after="200" w:line="360"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OBJETO DE LA CONTRATACION</w:t>
      </w:r>
    </w:p>
    <w:p w14:paraId="1D54B1C0">
      <w:pPr>
        <w:spacing w:before="240" w:after="200" w:line="240"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El objeto de la </w:t>
      </w:r>
    </w:p>
    <w:p w14:paraId="1A4D6DFE">
      <w:pPr>
        <w:spacing w:before="240" w:after="200" w:line="240" w:lineRule="auto"/>
        <w:ind w:left="567" w:right="425"/>
        <w:contextualSpacing/>
        <w:jc w:val="both"/>
        <w:rPr>
          <w:rFonts w:hint="default"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contratación es la brindar Asistencia Legal para garantizar </w:t>
      </w:r>
      <w:r>
        <w:rPr>
          <w:rFonts w:ascii="Arial" w:hAnsi="Arial" w:eastAsia="Times New Roman" w:cs="Arial"/>
          <w:bCs/>
          <w:kern w:val="0"/>
          <w:sz w:val="20"/>
          <w:szCs w:val="20"/>
          <w:highlight w:val="none"/>
          <w:lang w:val="es-MX" w:eastAsia="es-PE"/>
          <w14:ligatures w14:val="none"/>
        </w:rPr>
        <w:t xml:space="preserve">la correcta gestión y el cumplimiento de las funciones normativas </w:t>
      </w:r>
      <w:r>
        <w:rPr>
          <w:rFonts w:ascii="Arial" w:hAnsi="Arial" w:eastAsia="Times New Roman" w:cs="Arial"/>
          <w:bCs/>
          <w:kern w:val="0"/>
          <w:sz w:val="20"/>
          <w:szCs w:val="20"/>
          <w:highlight w:val="none"/>
          <w:lang w:val="es-ES" w:eastAsia="es-PE"/>
          <w14:ligatures w14:val="none"/>
        </w:rPr>
        <w:t xml:space="preserve">a la actividad de Fiscalización del Consejo Regional de Ucayali en el Proyecto Denominado: </w:t>
      </w:r>
      <w:bookmarkStart w:id="1" w:name="_Hlk208412660"/>
      <w:r>
        <w:rPr>
          <w:rFonts w:hint="default" w:ascii="Arial" w:hAnsi="Arial" w:cs="Arial"/>
          <w:b/>
          <w:bCs/>
          <w:sz w:val="22"/>
          <w:szCs w:val="22"/>
          <w:highlight w:val="none"/>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highlight w:val="none"/>
          <w:shd w:val="clear" w:color="auto" w:fill="FFFFFF" w:themeFill="background1"/>
          <w:lang w:val="es-ES"/>
          <w14:textFill>
            <w14:solidFill>
              <w14:schemeClr w14:val="tx1"/>
            </w14:solidFill>
          </w14:textFill>
        </w:rPr>
        <w:t xml:space="preserve">”, </w:t>
      </w:r>
      <w:r>
        <w:rPr>
          <w:rFonts w:ascii="Arial" w:hAnsi="Arial" w:cs="Arial"/>
          <w:bCs/>
          <w:highlight w:val="none"/>
        </w:rPr>
        <w:t xml:space="preserve">con CUI N° </w:t>
      </w:r>
      <w:r>
        <w:rPr>
          <w:rFonts w:ascii="Arial" w:hAnsi="Arial" w:cs="Arial"/>
          <w:b/>
          <w:bCs/>
          <w:i/>
          <w:iCs/>
          <w:sz w:val="24"/>
          <w:highlight w:val="none"/>
        </w:rPr>
        <w:t>2</w:t>
      </w:r>
      <w:bookmarkEnd w:id="1"/>
      <w:r>
        <w:rPr>
          <w:rFonts w:hint="default" w:ascii="Arial" w:hAnsi="Arial" w:cs="Arial"/>
          <w:b/>
          <w:bCs/>
          <w:i/>
          <w:iCs/>
          <w:sz w:val="24"/>
          <w:highlight w:val="none"/>
          <w:lang w:val="es-ES"/>
        </w:rPr>
        <w:t>327261</w:t>
      </w:r>
    </w:p>
    <w:p w14:paraId="2E244563">
      <w:pPr>
        <w:spacing w:before="240" w:after="200" w:line="240" w:lineRule="auto"/>
        <w:ind w:left="567" w:right="425"/>
        <w:contextualSpacing/>
        <w:jc w:val="both"/>
        <w:rPr>
          <w:rFonts w:ascii="Arial" w:hAnsi="Arial" w:eastAsia="Times New Roman" w:cs="Arial"/>
          <w:bCs/>
          <w:kern w:val="0"/>
          <w:sz w:val="20"/>
          <w:szCs w:val="20"/>
          <w:highlight w:val="none"/>
          <w:lang w:val="es-ES" w:eastAsia="es-PE"/>
          <w14:ligatures w14:val="none"/>
        </w:rPr>
      </w:pPr>
    </w:p>
    <w:p w14:paraId="27F0BF76">
      <w:pPr>
        <w:numPr>
          <w:ilvl w:val="0"/>
          <w:numId w:val="1"/>
        </w:numPr>
        <w:spacing w:before="240" w:after="200" w:line="360" w:lineRule="auto"/>
        <w:ind w:left="567" w:right="851"/>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CARACTERISTICAS Y/O CONDICIONES DEL SERVICIO</w:t>
      </w:r>
    </w:p>
    <w:tbl>
      <w:tblPr>
        <w:tblStyle w:val="14"/>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2210"/>
        <w:gridCol w:w="1879"/>
        <w:gridCol w:w="3814"/>
      </w:tblGrid>
      <w:tr w14:paraId="2747C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593" w:type="dxa"/>
          </w:tcPr>
          <w:p w14:paraId="59EDDA9F">
            <w:pPr>
              <w:spacing w:after="200" w:line="360" w:lineRule="auto"/>
              <w:ind w:right="851"/>
              <w:jc w:val="both"/>
              <w:rPr>
                <w:rFonts w:ascii="Arial" w:hAnsi="Arial" w:eastAsia="Times New Roman" w:cs="Arial"/>
                <w:b/>
                <w:bCs/>
                <w:kern w:val="0"/>
                <w:sz w:val="20"/>
                <w:szCs w:val="20"/>
                <w:highlight w:val="none"/>
                <w:lang w:val="es-US" w:eastAsia="es-PE"/>
                <w14:ligatures w14:val="none"/>
              </w:rPr>
            </w:pPr>
            <w:r>
              <w:rPr>
                <w:rFonts w:ascii="Arial" w:hAnsi="Arial" w:eastAsia="Times New Roman" w:cs="Arial"/>
                <w:b/>
                <w:bCs/>
                <w:kern w:val="0"/>
                <w:sz w:val="20"/>
                <w:szCs w:val="20"/>
                <w:highlight w:val="none"/>
                <w:lang w:val="es-US" w:eastAsia="es-PE"/>
                <w14:ligatures w14:val="none"/>
              </w:rPr>
              <w:t>ÍTEM</w:t>
            </w:r>
          </w:p>
        </w:tc>
        <w:tc>
          <w:tcPr>
            <w:tcW w:w="2216" w:type="dxa"/>
          </w:tcPr>
          <w:p w14:paraId="14E8EDEA">
            <w:pPr>
              <w:spacing w:after="200" w:line="360" w:lineRule="auto"/>
              <w:ind w:right="851"/>
              <w:jc w:val="both"/>
              <w:rPr>
                <w:rFonts w:ascii="Arial" w:hAnsi="Arial" w:eastAsia="Times New Roman" w:cs="Arial"/>
                <w:b/>
                <w:bCs/>
                <w:kern w:val="0"/>
                <w:sz w:val="20"/>
                <w:szCs w:val="20"/>
                <w:highlight w:val="none"/>
                <w:lang w:val="es-US" w:eastAsia="es-PE"/>
                <w14:ligatures w14:val="none"/>
              </w:rPr>
            </w:pPr>
            <w:r>
              <w:rPr>
                <w:rFonts w:ascii="Arial" w:hAnsi="Arial" w:eastAsia="Times New Roman" w:cs="Arial"/>
                <w:b/>
                <w:bCs/>
                <w:kern w:val="0"/>
                <w:sz w:val="20"/>
                <w:szCs w:val="20"/>
                <w:highlight w:val="none"/>
                <w:lang w:val="es-US" w:eastAsia="es-PE"/>
                <w14:ligatures w14:val="none"/>
              </w:rPr>
              <w:t>CANTIDAD</w:t>
            </w:r>
          </w:p>
        </w:tc>
        <w:tc>
          <w:tcPr>
            <w:tcW w:w="1856" w:type="dxa"/>
          </w:tcPr>
          <w:p w14:paraId="46FBEFEA">
            <w:pPr>
              <w:spacing w:after="200" w:line="360" w:lineRule="auto"/>
              <w:ind w:right="851"/>
              <w:jc w:val="both"/>
              <w:rPr>
                <w:rFonts w:ascii="Arial" w:hAnsi="Arial" w:eastAsia="Times New Roman" w:cs="Arial"/>
                <w:b/>
                <w:bCs/>
                <w:kern w:val="0"/>
                <w:sz w:val="20"/>
                <w:szCs w:val="20"/>
                <w:highlight w:val="none"/>
                <w:lang w:val="es-US" w:eastAsia="es-PE"/>
                <w14:ligatures w14:val="none"/>
              </w:rPr>
            </w:pPr>
            <w:r>
              <w:rPr>
                <w:rFonts w:ascii="Arial" w:hAnsi="Arial" w:eastAsia="Times New Roman" w:cs="Arial"/>
                <w:b/>
                <w:bCs/>
                <w:kern w:val="0"/>
                <w:sz w:val="20"/>
                <w:szCs w:val="20"/>
                <w:highlight w:val="none"/>
                <w:lang w:val="es-US" w:eastAsia="es-PE"/>
                <w14:ligatures w14:val="none"/>
              </w:rPr>
              <w:t>UNIDAD DE MEDIDA</w:t>
            </w:r>
          </w:p>
        </w:tc>
        <w:tc>
          <w:tcPr>
            <w:tcW w:w="3828" w:type="dxa"/>
          </w:tcPr>
          <w:p w14:paraId="4A2FCFE7">
            <w:pPr>
              <w:spacing w:after="200" w:line="360" w:lineRule="auto"/>
              <w:ind w:right="851"/>
              <w:jc w:val="center"/>
              <w:rPr>
                <w:rFonts w:ascii="Arial" w:hAnsi="Arial" w:eastAsia="Times New Roman" w:cs="Arial"/>
                <w:b/>
                <w:bCs/>
                <w:kern w:val="0"/>
                <w:sz w:val="20"/>
                <w:szCs w:val="20"/>
                <w:highlight w:val="none"/>
                <w:lang w:val="es-US" w:eastAsia="es-PE"/>
                <w14:ligatures w14:val="none"/>
              </w:rPr>
            </w:pPr>
            <w:r>
              <w:rPr>
                <w:rFonts w:ascii="Arial" w:hAnsi="Arial" w:eastAsia="Times New Roman" w:cs="Arial"/>
                <w:b/>
                <w:bCs/>
                <w:kern w:val="0"/>
                <w:sz w:val="20"/>
                <w:szCs w:val="20"/>
                <w:highlight w:val="none"/>
                <w:lang w:val="es-US" w:eastAsia="es-PE"/>
                <w14:ligatures w14:val="none"/>
              </w:rPr>
              <w:t>DESCRIPCIÓN DEL SERVICIO</w:t>
            </w:r>
          </w:p>
        </w:tc>
      </w:tr>
      <w:tr w14:paraId="2102C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1593" w:type="dxa"/>
            <w:vAlign w:val="center"/>
          </w:tcPr>
          <w:p w14:paraId="06AA80E8">
            <w:pPr>
              <w:spacing w:after="200" w:line="360" w:lineRule="auto"/>
              <w:ind w:right="851"/>
              <w:jc w:val="center"/>
              <w:rPr>
                <w:rFonts w:ascii="Arial" w:hAnsi="Arial" w:eastAsia="Times New Roman" w:cs="Arial"/>
                <w:kern w:val="0"/>
                <w:sz w:val="20"/>
                <w:szCs w:val="20"/>
                <w:highlight w:val="none"/>
                <w:lang w:val="es-US" w:eastAsia="es-PE"/>
                <w14:ligatures w14:val="none"/>
              </w:rPr>
            </w:pPr>
            <w:r>
              <w:rPr>
                <w:rFonts w:ascii="Arial" w:hAnsi="Arial" w:eastAsia="Times New Roman" w:cs="Arial"/>
                <w:kern w:val="0"/>
                <w:sz w:val="20"/>
                <w:szCs w:val="20"/>
                <w:highlight w:val="none"/>
                <w:lang w:val="es-US" w:eastAsia="es-PE"/>
                <w14:ligatures w14:val="none"/>
              </w:rPr>
              <w:t>1</w:t>
            </w:r>
          </w:p>
        </w:tc>
        <w:tc>
          <w:tcPr>
            <w:tcW w:w="2216" w:type="dxa"/>
            <w:vAlign w:val="center"/>
          </w:tcPr>
          <w:p w14:paraId="561FF9B4">
            <w:pPr>
              <w:spacing w:after="200" w:line="360" w:lineRule="auto"/>
              <w:ind w:right="851"/>
              <w:jc w:val="center"/>
              <w:rPr>
                <w:rFonts w:ascii="Arial" w:hAnsi="Arial" w:eastAsia="Times New Roman" w:cs="Arial"/>
                <w:kern w:val="0"/>
                <w:sz w:val="20"/>
                <w:szCs w:val="20"/>
                <w:highlight w:val="none"/>
                <w:lang w:val="es-US" w:eastAsia="es-PE"/>
                <w14:ligatures w14:val="none"/>
              </w:rPr>
            </w:pPr>
            <w:r>
              <w:rPr>
                <w:rFonts w:ascii="Arial" w:hAnsi="Arial" w:eastAsia="Times New Roman" w:cs="Arial"/>
                <w:kern w:val="0"/>
                <w:sz w:val="20"/>
                <w:szCs w:val="20"/>
                <w:highlight w:val="none"/>
                <w:lang w:val="es-US" w:eastAsia="es-PE"/>
                <w14:ligatures w14:val="none"/>
              </w:rPr>
              <w:t>1</w:t>
            </w:r>
          </w:p>
        </w:tc>
        <w:tc>
          <w:tcPr>
            <w:tcW w:w="1856" w:type="dxa"/>
            <w:vAlign w:val="center"/>
          </w:tcPr>
          <w:p w14:paraId="23BB5BCA">
            <w:pPr>
              <w:spacing w:after="200" w:line="360" w:lineRule="auto"/>
              <w:ind w:right="851"/>
              <w:jc w:val="center"/>
              <w:rPr>
                <w:rFonts w:ascii="Arial" w:hAnsi="Arial" w:eastAsia="Times New Roman" w:cs="Arial"/>
                <w:kern w:val="0"/>
                <w:sz w:val="20"/>
                <w:szCs w:val="20"/>
                <w:highlight w:val="none"/>
                <w:lang w:val="es-US" w:eastAsia="es-PE"/>
                <w14:ligatures w14:val="none"/>
              </w:rPr>
            </w:pPr>
            <w:r>
              <w:rPr>
                <w:rFonts w:ascii="Arial" w:hAnsi="Arial" w:eastAsia="Times New Roman" w:cs="Arial"/>
                <w:kern w:val="0"/>
                <w:sz w:val="20"/>
                <w:szCs w:val="20"/>
                <w:highlight w:val="none"/>
                <w:lang w:val="es-US" w:eastAsia="es-PE"/>
                <w14:ligatures w14:val="none"/>
              </w:rPr>
              <w:t>Servicios</w:t>
            </w:r>
          </w:p>
        </w:tc>
        <w:tc>
          <w:tcPr>
            <w:tcW w:w="3828" w:type="dxa"/>
          </w:tcPr>
          <w:p w14:paraId="65BD0F59">
            <w:pPr>
              <w:tabs>
                <w:tab w:val="left" w:pos="2898"/>
              </w:tabs>
              <w:spacing w:after="200" w:line="360" w:lineRule="auto"/>
              <w:ind w:left="39" w:right="182"/>
              <w:contextualSpacing/>
              <w:jc w:val="both"/>
              <w:rPr>
                <w:rFonts w:ascii="Arial" w:hAnsi="Arial" w:eastAsia="Times New Roman" w:cs="Arial"/>
                <w:bCs/>
                <w:kern w:val="0"/>
                <w:sz w:val="20"/>
                <w:szCs w:val="20"/>
                <w:highlight w:val="none"/>
                <w:lang w:val="es-US" w:eastAsia="es-PE"/>
                <w14:ligatures w14:val="none"/>
              </w:rPr>
            </w:pPr>
            <w:r>
              <w:rPr>
                <w:rFonts w:ascii="Arial" w:hAnsi="Arial" w:eastAsia="Times New Roman" w:cs="Arial"/>
                <w:bCs/>
                <w:kern w:val="0"/>
                <w:sz w:val="20"/>
                <w:szCs w:val="20"/>
                <w:highlight w:val="none"/>
                <w:lang w:val="es-MX" w:eastAsia="es-PE"/>
                <w14:ligatures w14:val="none"/>
              </w:rPr>
              <w:t xml:space="preserve">Brindar los servicio como Asistente </w:t>
            </w:r>
            <w:r>
              <w:rPr>
                <w:rFonts w:hint="default" w:ascii="Arial" w:hAnsi="Arial" w:eastAsia="Times New Roman" w:cs="Arial"/>
                <w:bCs/>
                <w:kern w:val="0"/>
                <w:sz w:val="20"/>
                <w:szCs w:val="20"/>
                <w:highlight w:val="none"/>
                <w:lang w:val="es-ES" w:eastAsia="es-PE"/>
                <w14:ligatures w14:val="none"/>
              </w:rPr>
              <w:t>Juridico</w:t>
            </w:r>
            <w:r>
              <w:rPr>
                <w:rFonts w:ascii="Arial" w:hAnsi="Arial" w:eastAsia="Times New Roman" w:cs="Arial"/>
                <w:bCs/>
                <w:kern w:val="0"/>
                <w:sz w:val="20"/>
                <w:szCs w:val="20"/>
                <w:highlight w:val="none"/>
                <w:lang w:val="es-MX" w:eastAsia="es-PE"/>
                <w14:ligatures w14:val="none"/>
              </w:rPr>
              <w:t xml:space="preserve"> para realizar las actividades de la revisión y aplicación de la norma legal de los expedientes técnicos y sus consecuentes actos</w:t>
            </w:r>
            <w:r>
              <w:rPr>
                <w:rFonts w:ascii="Arial" w:hAnsi="Arial" w:eastAsia="Times New Roman" w:cs="Arial"/>
                <w:bCs/>
                <w:kern w:val="0"/>
                <w:sz w:val="20"/>
                <w:szCs w:val="20"/>
                <w:highlight w:val="none"/>
                <w:lang w:val="es-ES" w:eastAsia="es-PE"/>
                <w14:ligatures w14:val="none"/>
              </w:rPr>
              <w:t xml:space="preserve">, para la actividad de Fiscalización del Consejo Regional de Ucayali en el Proyecto Denominado: </w:t>
            </w:r>
            <w:r>
              <w:rPr>
                <w:rFonts w:hint="default" w:ascii="Arial" w:hAnsi="Arial" w:cs="Arial"/>
                <w:b/>
                <w:bCs/>
                <w:sz w:val="22"/>
                <w:szCs w:val="22"/>
                <w:highlight w:val="none"/>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highlight w:val="none"/>
                <w:shd w:val="clear" w:color="auto" w:fill="FFFFFF" w:themeFill="background1"/>
                <w:lang w:val="es-ES"/>
                <w14:textFill>
                  <w14:solidFill>
                    <w14:schemeClr w14:val="tx1"/>
                  </w14:solidFill>
                </w14:textFill>
              </w:rPr>
              <w:t>”</w:t>
            </w:r>
            <w:r>
              <w:rPr>
                <w:rFonts w:ascii="Arial" w:hAnsi="Arial" w:eastAsia="Times New Roman" w:cs="Arial"/>
                <w:b/>
                <w:kern w:val="0"/>
                <w:sz w:val="20"/>
                <w:szCs w:val="20"/>
                <w:highlight w:val="none"/>
                <w:lang w:val="es-US" w:eastAsia="es-PE"/>
                <w14:ligatures w14:val="none"/>
              </w:rPr>
              <w:t xml:space="preserve"> </w:t>
            </w:r>
            <w:r>
              <w:rPr>
                <w:rFonts w:ascii="Arial" w:hAnsi="Arial" w:eastAsia="Times New Roman" w:cs="Arial"/>
                <w:bCs/>
                <w:kern w:val="0"/>
                <w:sz w:val="20"/>
                <w:szCs w:val="20"/>
                <w:highlight w:val="none"/>
                <w:lang w:val="es-US" w:eastAsia="es-PE"/>
                <w14:ligatures w14:val="none"/>
              </w:rPr>
              <w:t>(en adelante el proyecto)</w:t>
            </w:r>
            <w:r>
              <w:rPr>
                <w:rFonts w:ascii="Arial" w:hAnsi="Arial" w:eastAsia="Times New Roman" w:cs="Arial"/>
                <w:b/>
                <w:kern w:val="0"/>
                <w:sz w:val="20"/>
                <w:szCs w:val="20"/>
                <w:highlight w:val="none"/>
                <w:lang w:val="es-US" w:eastAsia="es-PE"/>
                <w14:ligatures w14:val="none"/>
              </w:rPr>
              <w:t xml:space="preserve"> </w:t>
            </w:r>
            <w:r>
              <w:rPr>
                <w:rFonts w:ascii="Arial" w:hAnsi="Arial" w:eastAsia="Times New Roman" w:cs="Arial"/>
                <w:bCs/>
                <w:kern w:val="0"/>
                <w:sz w:val="20"/>
                <w:szCs w:val="20"/>
                <w:highlight w:val="none"/>
                <w:lang w:val="es-US" w:eastAsia="es-PE"/>
                <w14:ligatures w14:val="none"/>
              </w:rPr>
              <w:t xml:space="preserve">con </w:t>
            </w:r>
            <w:r>
              <w:rPr>
                <w:rFonts w:ascii="Arial" w:hAnsi="Arial" w:eastAsia="Times New Roman" w:cs="Arial"/>
                <w:bCs/>
                <w:kern w:val="0"/>
                <w:sz w:val="20"/>
                <w:szCs w:val="20"/>
                <w:highlight w:val="none"/>
                <w:lang w:val="es-ES" w:eastAsia="es-PE"/>
                <w14:ligatures w14:val="none"/>
              </w:rPr>
              <w:t xml:space="preserve">CUI N° </w:t>
            </w:r>
            <w:r>
              <w:rPr>
                <w:rFonts w:ascii="Arial" w:hAnsi="Arial" w:eastAsia="Times New Roman" w:cs="Arial"/>
                <w:b/>
                <w:kern w:val="0"/>
                <w:sz w:val="20"/>
                <w:szCs w:val="20"/>
                <w:highlight w:val="none"/>
                <w:lang w:eastAsia="es-PE"/>
                <w14:ligatures w14:val="none"/>
              </w:rPr>
              <w:t>2</w:t>
            </w:r>
            <w:r>
              <w:rPr>
                <w:rFonts w:hint="default" w:ascii="Arial" w:hAnsi="Arial" w:eastAsia="Times New Roman" w:cs="Arial"/>
                <w:b/>
                <w:kern w:val="0"/>
                <w:sz w:val="20"/>
                <w:szCs w:val="20"/>
                <w:highlight w:val="none"/>
                <w:lang w:val="es-ES" w:eastAsia="es-PE"/>
                <w14:ligatures w14:val="none"/>
              </w:rPr>
              <w:t>327261</w:t>
            </w:r>
            <w:r>
              <w:rPr>
                <w:rFonts w:ascii="Arial" w:hAnsi="Arial" w:eastAsia="Times New Roman" w:cs="Arial"/>
                <w:bCs/>
                <w:kern w:val="0"/>
                <w:sz w:val="20"/>
                <w:szCs w:val="20"/>
                <w:highlight w:val="none"/>
                <w:lang w:val="es-US" w:eastAsia="es-PE"/>
                <w14:ligatures w14:val="none"/>
              </w:rPr>
              <w:t>,</w:t>
            </w:r>
            <w:r>
              <w:rPr>
                <w:rFonts w:hint="default" w:ascii="Arial" w:hAnsi="Arial" w:eastAsia="Times New Roman" w:cs="Arial"/>
                <w:bCs/>
                <w:kern w:val="0"/>
                <w:sz w:val="20"/>
                <w:szCs w:val="20"/>
                <w:highlight w:val="none"/>
                <w:lang w:val="es-ES" w:eastAsia="es-PE"/>
                <w14:ligatures w14:val="none"/>
              </w:rPr>
              <w:t xml:space="preserve"> </w:t>
            </w:r>
            <w:r>
              <w:rPr>
                <w:rFonts w:ascii="Arial" w:hAnsi="Arial" w:eastAsia="Times New Roman" w:cs="Arial"/>
                <w:bCs/>
                <w:kern w:val="0"/>
                <w:sz w:val="20"/>
                <w:szCs w:val="20"/>
                <w:highlight w:val="none"/>
                <w:lang w:val="es-US" w:eastAsia="es-PE"/>
                <w14:ligatures w14:val="none"/>
              </w:rPr>
              <w:t xml:space="preserve">realizado en virtud al Acuerdo Regional N° </w:t>
            </w:r>
            <w:r>
              <w:rPr>
                <w:rFonts w:hint="default" w:ascii="Arial" w:hAnsi="Arial" w:eastAsia="Times New Roman" w:cs="Arial"/>
                <w:bCs/>
                <w:kern w:val="0"/>
                <w:sz w:val="20"/>
                <w:szCs w:val="20"/>
                <w:highlight w:val="none"/>
                <w:lang w:val="es-ES" w:eastAsia="es-PE"/>
                <w14:ligatures w14:val="none"/>
              </w:rPr>
              <w:t>015</w:t>
            </w:r>
            <w:r>
              <w:rPr>
                <w:rFonts w:ascii="Arial" w:hAnsi="Arial" w:eastAsia="Times New Roman" w:cs="Arial"/>
                <w:bCs/>
                <w:kern w:val="0"/>
                <w:sz w:val="20"/>
                <w:szCs w:val="20"/>
                <w:highlight w:val="none"/>
                <w:lang w:val="es-US" w:eastAsia="es-PE"/>
                <w14:ligatures w14:val="none"/>
              </w:rPr>
              <w:t>-202</w:t>
            </w:r>
            <w:r>
              <w:rPr>
                <w:rFonts w:hint="default" w:ascii="Arial" w:hAnsi="Arial" w:eastAsia="Times New Roman" w:cs="Arial"/>
                <w:bCs/>
                <w:kern w:val="0"/>
                <w:sz w:val="20"/>
                <w:szCs w:val="20"/>
                <w:highlight w:val="none"/>
                <w:lang w:val="es-ES" w:eastAsia="es-PE"/>
                <w14:ligatures w14:val="none"/>
              </w:rPr>
              <w:t>6</w:t>
            </w:r>
            <w:r>
              <w:rPr>
                <w:rFonts w:ascii="Arial" w:hAnsi="Arial" w:eastAsia="Times New Roman" w:cs="Arial"/>
                <w:bCs/>
                <w:kern w:val="0"/>
                <w:sz w:val="20"/>
                <w:szCs w:val="20"/>
                <w:highlight w:val="none"/>
                <w:lang w:val="es-US" w:eastAsia="es-PE"/>
                <w14:ligatures w14:val="none"/>
              </w:rPr>
              <w:t xml:space="preserve">-GRU-CR, </w:t>
            </w:r>
            <w:r>
              <w:rPr>
                <w:rFonts w:ascii="Arial" w:hAnsi="Arial" w:eastAsia="Arial" w:cs="Arial"/>
                <w:i/>
                <w:iCs/>
                <w:kern w:val="0"/>
                <w:sz w:val="20"/>
                <w:szCs w:val="20"/>
                <w:highlight w:val="none"/>
                <w:lang w:val="es-US" w:eastAsia="es-PE"/>
                <w14:ligatures w14:val="none"/>
              </w:rPr>
              <w:t>en cuanto al análisis y el resultado, si se ha dado cumplimiento o no la Directiva N° 001-2019-EF/63.01, sus modificatorias y las demás normas que amerite la correcta fiscalización del proyecto.</w:t>
            </w:r>
          </w:p>
        </w:tc>
      </w:tr>
    </w:tbl>
    <w:p w14:paraId="02B281AE">
      <w:pPr>
        <w:spacing w:before="240" w:after="200" w:line="360" w:lineRule="auto"/>
        <w:ind w:left="567" w:right="851"/>
        <w:contextualSpacing/>
        <w:jc w:val="both"/>
        <w:rPr>
          <w:rFonts w:ascii="Arial" w:hAnsi="Arial" w:eastAsia="Times New Roman" w:cs="Arial"/>
          <w:b/>
          <w:kern w:val="0"/>
          <w:sz w:val="20"/>
          <w:szCs w:val="20"/>
          <w:highlight w:val="none"/>
          <w:lang w:val="es-ES" w:eastAsia="es-PE"/>
          <w14:ligatures w14:val="none"/>
        </w:rPr>
      </w:pPr>
    </w:p>
    <w:p w14:paraId="1525972D">
      <w:pPr>
        <w:spacing w:before="240" w:after="200" w:line="360" w:lineRule="auto"/>
        <w:ind w:left="567" w:right="851"/>
        <w:contextualSpacing/>
        <w:jc w:val="both"/>
        <w:rPr>
          <w:rFonts w:ascii="Arial" w:hAnsi="Arial" w:eastAsia="Times New Roman" w:cs="Arial"/>
          <w:b/>
          <w:kern w:val="0"/>
          <w:sz w:val="20"/>
          <w:szCs w:val="20"/>
          <w:highlight w:val="none"/>
          <w:lang w:val="es-ES" w:eastAsia="es-PE"/>
          <w14:ligatures w14:val="none"/>
        </w:rPr>
      </w:pPr>
    </w:p>
    <w:p w14:paraId="5E255E35">
      <w:pPr>
        <w:spacing w:before="240" w:after="200" w:line="360" w:lineRule="auto"/>
        <w:ind w:left="567" w:right="851"/>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5.1. Actividades a desarrollar:</w:t>
      </w:r>
    </w:p>
    <w:p w14:paraId="3840A8EF">
      <w:pPr>
        <w:spacing w:before="240" w:after="200" w:line="276" w:lineRule="auto"/>
        <w:ind w:left="567" w:right="283"/>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a) Apoyar al equipo de Fiscalizacion del Consejo Regional con tareas administrativas, organizativas y documentales, facilitando el adecuado desarrollo de las acciones de supervisión en campo. </w:t>
      </w:r>
    </w:p>
    <w:p w14:paraId="2263745C">
      <w:pPr>
        <w:spacing w:before="240" w:after="200" w:line="276" w:lineRule="auto"/>
        <w:ind w:left="567" w:right="283"/>
        <w:contextualSpacing/>
        <w:jc w:val="both"/>
        <w:rPr>
          <w:rFonts w:ascii="Arial" w:hAnsi="Arial" w:eastAsia="Times New Roman" w:cs="Arial"/>
          <w:bCs/>
          <w:kern w:val="0"/>
          <w:sz w:val="20"/>
          <w:szCs w:val="20"/>
          <w:highlight w:val="none"/>
          <w:lang w:val="es-ES" w:eastAsia="es-PE"/>
          <w14:ligatures w14:val="none"/>
        </w:rPr>
      </w:pPr>
    </w:p>
    <w:p w14:paraId="2E851479">
      <w:pPr>
        <w:spacing w:before="240" w:after="200" w:line="276" w:lineRule="auto"/>
        <w:ind w:left="567" w:right="283"/>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b) Elaborar y proponer un cronograma detallado de trabajo dentro de los tres (03) días </w:t>
      </w:r>
      <w:r>
        <w:rPr>
          <w:rFonts w:hint="default" w:ascii="Arial" w:hAnsi="Arial" w:eastAsia="Times New Roman" w:cs="Arial"/>
          <w:bCs/>
          <w:kern w:val="0"/>
          <w:sz w:val="20"/>
          <w:szCs w:val="20"/>
          <w:highlight w:val="none"/>
          <w:lang w:val="es-ES" w:eastAsia="es-PE"/>
          <w14:ligatures w14:val="none"/>
        </w:rPr>
        <w:t>habiles</w:t>
      </w:r>
      <w:r>
        <w:rPr>
          <w:rFonts w:ascii="Arial" w:hAnsi="Arial" w:eastAsia="Times New Roman" w:cs="Arial"/>
          <w:bCs/>
          <w:kern w:val="0"/>
          <w:sz w:val="20"/>
          <w:szCs w:val="20"/>
          <w:highlight w:val="none"/>
          <w:lang w:val="es-ES" w:eastAsia="es-PE"/>
          <w14:ligatures w14:val="none"/>
        </w:rPr>
        <w:t xml:space="preserve"> posterior a la firma del contrato, el cual se establezcan los tiempos, actividades y entregables del servicio. </w:t>
      </w:r>
    </w:p>
    <w:p w14:paraId="135286AD">
      <w:pPr>
        <w:spacing w:before="240" w:after="200" w:line="276" w:lineRule="auto"/>
        <w:ind w:left="567" w:right="283"/>
        <w:contextualSpacing/>
        <w:jc w:val="both"/>
        <w:rPr>
          <w:rFonts w:ascii="Arial" w:hAnsi="Arial" w:eastAsia="Times New Roman" w:cs="Arial"/>
          <w:bCs/>
          <w:kern w:val="0"/>
          <w:sz w:val="20"/>
          <w:szCs w:val="20"/>
          <w:highlight w:val="none"/>
          <w:lang w:val="es-ES" w:eastAsia="es-PE"/>
          <w14:ligatures w14:val="none"/>
        </w:rPr>
      </w:pPr>
    </w:p>
    <w:p w14:paraId="426F3F32">
      <w:pPr>
        <w:spacing w:before="240" w:after="200" w:line="360" w:lineRule="auto"/>
        <w:ind w:left="567" w:right="283"/>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c) Presentar Plan de trabajo.</w:t>
      </w:r>
    </w:p>
    <w:p w14:paraId="509FFE0F">
      <w:pPr>
        <w:spacing w:before="240" w:after="200" w:line="360" w:lineRule="auto"/>
        <w:ind w:left="567" w:right="283"/>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    Elaborar y presentar plan de trabajo que incluya los siguientes elementos:   </w:t>
      </w:r>
    </w:p>
    <w:p w14:paraId="282A0AF5">
      <w:pPr>
        <w:pStyle w:val="29"/>
        <w:numPr>
          <w:ilvl w:val="0"/>
          <w:numId w:val="2"/>
        </w:numPr>
        <w:spacing w:after="200" w:line="276" w:lineRule="auto"/>
        <w:ind w:right="283"/>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Caratula</w:t>
      </w:r>
    </w:p>
    <w:p w14:paraId="16F258F7">
      <w:pPr>
        <w:pStyle w:val="29"/>
        <w:numPr>
          <w:ilvl w:val="0"/>
          <w:numId w:val="2"/>
        </w:numPr>
        <w:spacing w:after="200" w:line="276" w:lineRule="auto"/>
        <w:ind w:right="283"/>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Datos del proyecto.</w:t>
      </w:r>
    </w:p>
    <w:p w14:paraId="6A4BBD4A">
      <w:pPr>
        <w:pStyle w:val="29"/>
        <w:numPr>
          <w:ilvl w:val="0"/>
          <w:numId w:val="2"/>
        </w:numPr>
        <w:spacing w:before="240" w:after="200" w:line="276" w:lineRule="auto"/>
        <w:ind w:right="283"/>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Ubicación Geográfica (mapa de ubicación del proyecto)</w:t>
      </w:r>
    </w:p>
    <w:p w14:paraId="76A9BD9C">
      <w:pPr>
        <w:pStyle w:val="29"/>
        <w:numPr>
          <w:ilvl w:val="0"/>
          <w:numId w:val="2"/>
        </w:numPr>
        <w:spacing w:before="240" w:after="200" w:line="276" w:lineRule="auto"/>
        <w:ind w:right="283"/>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Cronograma detallado de actividades a realizar en la visita in situ al proyecto.</w:t>
      </w:r>
    </w:p>
    <w:p w14:paraId="60D30D13">
      <w:pPr>
        <w:pStyle w:val="29"/>
        <w:numPr>
          <w:ilvl w:val="0"/>
          <w:numId w:val="2"/>
        </w:numPr>
        <w:spacing w:before="240" w:after="200" w:line="276" w:lineRule="auto"/>
        <w:ind w:right="283"/>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Organización y revisión de la documentación vinculada a la Fiscalizacion: (fichas, expedientes, contratos, actas, informes, entre otros documentos técnicos y administrativos relacionados a la actividad de fiscalización al Proyecto:</w:t>
      </w:r>
      <w:r>
        <w:rPr>
          <w:rFonts w:ascii="Arial" w:hAnsi="Arial" w:eastAsia="Times New Roman" w:cs="Arial"/>
          <w:b/>
          <w:i/>
          <w:iCs/>
          <w:kern w:val="0"/>
          <w:sz w:val="20"/>
          <w:szCs w:val="20"/>
          <w:highlight w:val="none"/>
          <w:lang w:eastAsia="es-PE"/>
          <w14:ligatures w14:val="none"/>
        </w:rPr>
        <w:t xml:space="preserve"> </w:t>
      </w:r>
      <w:r>
        <w:rPr>
          <w:rFonts w:hint="default" w:ascii="Arial" w:hAnsi="Arial" w:cs="Arial"/>
          <w:b/>
          <w:bCs/>
          <w:sz w:val="22"/>
          <w:szCs w:val="22"/>
          <w:highlight w:val="none"/>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highlight w:val="none"/>
          <w:shd w:val="clear" w:color="auto" w:fill="FFFFFF" w:themeFill="background1"/>
          <w:lang w:val="es-ES"/>
          <w14:textFill>
            <w14:solidFill>
              <w14:schemeClr w14:val="tx1"/>
            </w14:solidFill>
          </w14:textFill>
        </w:rPr>
        <w:t xml:space="preserve">”, </w:t>
      </w:r>
      <w:r>
        <w:rPr>
          <w:rFonts w:ascii="Arial" w:hAnsi="Arial" w:cs="Arial"/>
          <w:bCs/>
          <w:highlight w:val="none"/>
        </w:rPr>
        <w:t xml:space="preserve">con CUI N° </w:t>
      </w:r>
      <w:r>
        <w:rPr>
          <w:rFonts w:ascii="Arial" w:hAnsi="Arial" w:cs="Arial"/>
          <w:b/>
          <w:bCs/>
          <w:i/>
          <w:iCs/>
          <w:sz w:val="24"/>
          <w:highlight w:val="none"/>
        </w:rPr>
        <w:t>2</w:t>
      </w:r>
      <w:r>
        <w:rPr>
          <w:rFonts w:hint="default" w:ascii="Arial" w:hAnsi="Arial" w:cs="Arial"/>
          <w:b/>
          <w:bCs/>
          <w:i/>
          <w:iCs/>
          <w:sz w:val="24"/>
          <w:highlight w:val="none"/>
          <w:lang w:val="es-ES"/>
        </w:rPr>
        <w:t>327261</w:t>
      </w:r>
      <w:r>
        <w:rPr>
          <w:rFonts w:ascii="Arial" w:hAnsi="Arial" w:eastAsia="Times New Roman" w:cs="Arial"/>
          <w:b/>
          <w:kern w:val="0"/>
          <w:sz w:val="20"/>
          <w:szCs w:val="20"/>
          <w:highlight w:val="none"/>
          <w:lang w:val="es-ES" w:eastAsia="es-PE"/>
          <w14:ligatures w14:val="none"/>
        </w:rPr>
        <w:t>,</w:t>
      </w:r>
      <w:r>
        <w:rPr>
          <w:rFonts w:ascii="Arial" w:hAnsi="Arial" w:eastAsia="Times New Roman" w:cs="Arial"/>
          <w:bCs/>
          <w:kern w:val="0"/>
          <w:sz w:val="20"/>
          <w:szCs w:val="20"/>
          <w:highlight w:val="none"/>
          <w:lang w:val="es-ES" w:eastAsia="es-PE"/>
          <w14:ligatures w14:val="none"/>
        </w:rPr>
        <w:t xml:space="preserve"> para la correcta ejecución del servicio.</w:t>
      </w:r>
    </w:p>
    <w:p w14:paraId="5B42F5D4">
      <w:pPr>
        <w:spacing w:before="240" w:after="200" w:line="360" w:lineRule="auto"/>
        <w:ind w:left="567" w:right="283"/>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d) Revisión y clasificación documental:</w:t>
      </w:r>
    </w:p>
    <w:p w14:paraId="05EB76BE">
      <w:pPr>
        <w:pStyle w:val="29"/>
        <w:numPr>
          <w:ilvl w:val="0"/>
          <w:numId w:val="3"/>
        </w:numPr>
        <w:spacing w:before="240" w:after="200" w:line="360" w:lineRule="auto"/>
        <w:ind w:right="283"/>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Coordinar con la Secretaria del Consejo Regional la recepción, clasificación y organización de la documentación técnica y administrativa del proyecto.</w:t>
      </w:r>
    </w:p>
    <w:p w14:paraId="4B3F0C3B">
      <w:pPr>
        <w:pStyle w:val="29"/>
        <w:numPr>
          <w:ilvl w:val="0"/>
          <w:numId w:val="3"/>
        </w:numPr>
        <w:spacing w:before="240" w:after="200" w:line="360" w:lineRule="auto"/>
        <w:ind w:right="283"/>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Informar oportunamente sobre faltantes y omisiones documentales detectadas.</w:t>
      </w:r>
    </w:p>
    <w:p w14:paraId="32DDB536">
      <w:pPr>
        <w:spacing w:before="240" w:after="200" w:line="360" w:lineRule="auto"/>
        <w:ind w:left="567" w:right="283"/>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e) Apoyar en Informes Técnicos: </w:t>
      </w:r>
    </w:p>
    <w:p w14:paraId="19A9F278">
      <w:pPr>
        <w:pStyle w:val="29"/>
        <w:numPr>
          <w:ilvl w:val="0"/>
          <w:numId w:val="4"/>
        </w:numPr>
        <w:spacing w:before="240" w:after="200" w:line="276" w:lineRule="auto"/>
        <w:ind w:right="283"/>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Brindar soporte en la elaboración y revisión de los informes técnicos generados por el equipo de fiscalización contribuyendo con: Redacción técnica y estructuración, Sistematización de información recolectada y Presentación formal conforme a los lineamientos del Consejo Regional.</w:t>
      </w:r>
    </w:p>
    <w:p w14:paraId="4B251990">
      <w:pPr>
        <w:spacing w:before="240" w:after="200" w:line="276" w:lineRule="auto"/>
        <w:ind w:left="567" w:right="283"/>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f)</w:t>
      </w:r>
      <w:r>
        <w:rPr>
          <w:rFonts w:ascii="Arial" w:hAnsi="Arial" w:eastAsia="Times New Roman" w:cs="Arial"/>
          <w:bCs/>
          <w:kern w:val="0"/>
          <w:sz w:val="20"/>
          <w:szCs w:val="20"/>
          <w:highlight w:val="none"/>
          <w:lang w:val="es-ES" w:eastAsia="es-PE"/>
          <w14:ligatures w14:val="none"/>
        </w:rPr>
        <w:tab/>
      </w:r>
      <w:r>
        <w:rPr>
          <w:rFonts w:ascii="Arial" w:hAnsi="Arial" w:eastAsia="Times New Roman" w:cs="Arial"/>
          <w:bCs/>
          <w:kern w:val="0"/>
          <w:sz w:val="20"/>
          <w:szCs w:val="20"/>
          <w:highlight w:val="none"/>
          <w:lang w:val="es-ES" w:eastAsia="es-PE"/>
          <w14:ligatures w14:val="none"/>
        </w:rPr>
        <w:t xml:space="preserve"> Elaboración y presentación de informe final de fiscalización: Participar en la consolidación, redacción y presentación de dos (02) ejemplares originales del Informe de Fiscalización, bajo coordinación del Consejero responsable y Secretaria del Consejo Regional de Ucayali.</w:t>
      </w:r>
    </w:p>
    <w:p w14:paraId="69EDECE9">
      <w:pPr>
        <w:spacing w:before="240" w:after="200" w:line="276" w:lineRule="auto"/>
        <w:ind w:left="567" w:right="283"/>
        <w:contextualSpacing/>
        <w:jc w:val="both"/>
        <w:rPr>
          <w:rFonts w:hint="default" w:ascii="Arial" w:hAnsi="Arial" w:eastAsia="Times New Roman" w:cs="Arial"/>
          <w:bCs/>
          <w:kern w:val="0"/>
          <w:sz w:val="20"/>
          <w:szCs w:val="20"/>
          <w:highlight w:val="none"/>
          <w:lang w:eastAsia="es-PE"/>
          <w14:ligatures w14:val="none"/>
        </w:rPr>
      </w:pPr>
      <w:r>
        <w:rPr>
          <w:rFonts w:ascii="Arial" w:hAnsi="Arial" w:eastAsia="Times New Roman" w:cs="Arial"/>
          <w:bCs/>
          <w:kern w:val="0"/>
          <w:sz w:val="20"/>
          <w:szCs w:val="20"/>
          <w:highlight w:val="none"/>
          <w:lang w:eastAsia="es-PE"/>
          <w14:ligatures w14:val="none"/>
        </w:rPr>
        <w:t xml:space="preserve"> </w:t>
      </w:r>
    </w:p>
    <w:p w14:paraId="7E7DA15E">
      <w:pPr>
        <w:spacing w:before="240" w:after="200" w:line="276" w:lineRule="auto"/>
        <w:ind w:left="567" w:right="283"/>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g) Estructura del Informe Final de fiscalización deberá elaborarse de manera conjunta con el profesional designado y contener como mínima la siguiente estructura: </w:t>
      </w:r>
    </w:p>
    <w:p w14:paraId="34A4A1AA">
      <w:pPr>
        <w:spacing w:before="240" w:after="200" w:line="360" w:lineRule="auto"/>
        <w:ind w:left="1416"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I.ANTECEDENTES:</w:t>
      </w:r>
      <w:r>
        <w:rPr>
          <w:rFonts w:ascii="Arial" w:hAnsi="Arial" w:eastAsia="Times New Roman" w:cs="Arial"/>
          <w:bCs/>
          <w:kern w:val="0"/>
          <w:sz w:val="20"/>
          <w:szCs w:val="20"/>
          <w:highlight w:val="none"/>
          <w:lang w:val="es-ES" w:eastAsia="es-PE"/>
          <w14:ligatures w14:val="none"/>
        </w:rPr>
        <w:t xml:space="preserve"> (Describir las actividades realizadas dentro del marco de la actividad de fiscalización)</w:t>
      </w:r>
    </w:p>
    <w:p w14:paraId="2ADABCD1">
      <w:pPr>
        <w:spacing w:before="240" w:after="200" w:line="360" w:lineRule="auto"/>
        <w:ind w:left="1416"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II.OBJETIVOS.</w:t>
      </w:r>
      <w:r>
        <w:rPr>
          <w:rFonts w:ascii="Arial" w:hAnsi="Arial" w:eastAsia="Times New Roman" w:cs="Arial"/>
          <w:b/>
          <w:kern w:val="0"/>
          <w:sz w:val="20"/>
          <w:szCs w:val="20"/>
          <w:highlight w:val="none"/>
          <w:lang w:val="es-ES" w:eastAsia="es-PE"/>
          <w14:ligatures w14:val="none"/>
        </w:rPr>
        <w:tab/>
      </w:r>
    </w:p>
    <w:p w14:paraId="248A7166">
      <w:pPr>
        <w:spacing w:before="240" w:after="200" w:line="360" w:lineRule="auto"/>
        <w:ind w:left="212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2.1. Objetivo general. (Considerar el Literal k) del Artículo 15° de la Ley N° 27867 – Ley Orgánica de Gobiernos Regionales)</w:t>
      </w:r>
    </w:p>
    <w:p w14:paraId="6E2D16DD">
      <w:pPr>
        <w:spacing w:before="240" w:after="200" w:line="360" w:lineRule="auto"/>
        <w:ind w:left="212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2.2. Objetivos específicos. (Enfocado a la actividad propia de la fiscalización de la Proyecto en cuanto a la metodología).</w:t>
      </w:r>
    </w:p>
    <w:p w14:paraId="52D3210F">
      <w:pPr>
        <w:spacing w:before="240" w:after="200" w:line="360" w:lineRule="auto"/>
        <w:ind w:left="1416"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III.DESCRIPCION E INFORMACION RESPECTO A LA FISCALIZACION</w:t>
      </w:r>
    </w:p>
    <w:p w14:paraId="08A81132">
      <w:pPr>
        <w:spacing w:before="240" w:after="200" w:line="360" w:lineRule="auto"/>
        <w:ind w:left="212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3.1. Información de la Visita a campo.</w:t>
      </w:r>
    </w:p>
    <w:p w14:paraId="32A86F5A">
      <w:pPr>
        <w:spacing w:before="240" w:after="200" w:line="360" w:lineRule="auto"/>
        <w:ind w:left="212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3.2. Opinión técnica cumplimiento normativo y manejo ambiental.</w:t>
      </w:r>
    </w:p>
    <w:p w14:paraId="02C48E6A">
      <w:pPr>
        <w:spacing w:before="240" w:after="200" w:line="360" w:lineRule="auto"/>
        <w:ind w:left="212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3.3. Verificada técnica de equipos, personal y seguridad.</w:t>
      </w:r>
    </w:p>
    <w:p w14:paraId="49982D42">
      <w:pPr>
        <w:spacing w:before="240" w:after="200" w:line="360" w:lineRule="auto"/>
        <w:ind w:left="212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3.4. Cumplimiento del cronograma de trabajo.</w:t>
      </w:r>
    </w:p>
    <w:p w14:paraId="6E0D1205">
      <w:pPr>
        <w:spacing w:before="240" w:after="200" w:line="360" w:lineRule="auto"/>
        <w:ind w:left="212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3.5. Idoneidad y suficiencia del personal contratista.</w:t>
      </w:r>
    </w:p>
    <w:p w14:paraId="067940E2">
      <w:pPr>
        <w:spacing w:before="240" w:after="200" w:line="360" w:lineRule="auto"/>
        <w:ind w:left="1416"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IV.OBSERVACION A LA FISCALIZACION</w:t>
      </w:r>
      <w:r>
        <w:rPr>
          <w:rFonts w:ascii="Arial" w:hAnsi="Arial" w:eastAsia="Times New Roman" w:cs="Arial"/>
          <w:bCs/>
          <w:kern w:val="0"/>
          <w:sz w:val="20"/>
          <w:szCs w:val="20"/>
          <w:highlight w:val="none"/>
          <w:lang w:val="es-ES" w:eastAsia="es-PE"/>
          <w14:ligatures w14:val="none"/>
        </w:rPr>
        <w:t xml:space="preserve"> (sustentar los incumplimientos detectados)</w:t>
      </w:r>
    </w:p>
    <w:p w14:paraId="74BAC357">
      <w:pPr>
        <w:spacing w:before="240" w:after="200" w:line="360" w:lineRule="auto"/>
        <w:ind w:left="1416"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V.DOCUMENTACION VINCULADA A LA FISCALIZACION</w:t>
      </w:r>
      <w:r>
        <w:rPr>
          <w:rFonts w:ascii="Arial" w:hAnsi="Arial" w:eastAsia="Times New Roman" w:cs="Arial"/>
          <w:bCs/>
          <w:kern w:val="0"/>
          <w:sz w:val="20"/>
          <w:szCs w:val="20"/>
          <w:highlight w:val="none"/>
          <w:lang w:val="es-ES" w:eastAsia="es-PE"/>
          <w14:ligatures w14:val="none"/>
        </w:rPr>
        <w:t xml:space="preserve"> (adjuntar los documentos probatorios de las observaciones realizadas en la ejecución del proyecto)</w:t>
      </w:r>
    </w:p>
    <w:p w14:paraId="3BE4C503">
      <w:pPr>
        <w:spacing w:before="240" w:after="200" w:line="360" w:lineRule="auto"/>
        <w:ind w:left="1416" w:right="425"/>
        <w:contextualSpacing/>
        <w:jc w:val="both"/>
        <w:rPr>
          <w:rFonts w:ascii="Arial" w:hAnsi="Arial" w:eastAsia="Times New Roman" w:cs="Arial"/>
          <w:bCs/>
          <w:color w:val="000000" w:themeColor="text1"/>
          <w:kern w:val="0"/>
          <w:sz w:val="20"/>
          <w:szCs w:val="20"/>
          <w:highlight w:val="none"/>
          <w:lang w:val="es-ES" w:eastAsia="es-PE"/>
          <w14:textFill>
            <w14:solidFill>
              <w14:schemeClr w14:val="tx1"/>
            </w14:solidFill>
          </w14:textFill>
          <w14:ligatures w14:val="none"/>
        </w:rPr>
      </w:pPr>
      <w:r>
        <w:rPr>
          <w:rFonts w:ascii="Arial" w:hAnsi="Arial" w:eastAsia="Times New Roman" w:cs="Arial"/>
          <w:b/>
          <w:color w:val="000000" w:themeColor="text1"/>
          <w:kern w:val="0"/>
          <w:sz w:val="20"/>
          <w:szCs w:val="20"/>
          <w:highlight w:val="none"/>
          <w:lang w:val="es-ES" w:eastAsia="es-PE"/>
          <w14:textFill>
            <w14:solidFill>
              <w14:schemeClr w14:val="tx1"/>
            </w14:solidFill>
          </w14:textFill>
          <w14:ligatures w14:val="none"/>
        </w:rPr>
        <w:t>VI.LOGROS (</w:t>
      </w:r>
      <w:r>
        <w:rPr>
          <w:rFonts w:ascii="Arial" w:hAnsi="Arial" w:eastAsia="Times New Roman" w:cs="Arial"/>
          <w:bCs/>
          <w:color w:val="000000" w:themeColor="text1"/>
          <w:kern w:val="0"/>
          <w:sz w:val="20"/>
          <w:szCs w:val="20"/>
          <w:highlight w:val="none"/>
          <w:lang w:val="es-ES" w:eastAsia="es-PE"/>
          <w14:textFill>
            <w14:solidFill>
              <w14:schemeClr w14:val="tx1"/>
            </w14:solidFill>
          </w14:textFill>
          <w14:ligatures w14:val="none"/>
        </w:rPr>
        <w:t xml:space="preserve">resultados alcanzados durante la fiscalización) </w:t>
      </w:r>
    </w:p>
    <w:p w14:paraId="5266C6DA">
      <w:pPr>
        <w:spacing w:before="240" w:after="200" w:line="360" w:lineRule="auto"/>
        <w:ind w:left="1416" w:right="425"/>
        <w:contextualSpacing/>
        <w:jc w:val="both"/>
        <w:rPr>
          <w:rFonts w:ascii="Arial" w:hAnsi="Arial" w:eastAsia="Times New Roman" w:cs="Arial"/>
          <w:b/>
          <w:color w:val="000000" w:themeColor="text1"/>
          <w:kern w:val="0"/>
          <w:sz w:val="20"/>
          <w:szCs w:val="20"/>
          <w:highlight w:val="none"/>
          <w:lang w:val="es-ES" w:eastAsia="es-PE"/>
          <w14:textFill>
            <w14:solidFill>
              <w14:schemeClr w14:val="tx1"/>
            </w14:solidFill>
          </w14:textFill>
          <w14:ligatures w14:val="none"/>
        </w:rPr>
      </w:pPr>
      <w:r>
        <w:rPr>
          <w:rFonts w:ascii="Arial" w:hAnsi="Arial" w:eastAsia="Times New Roman" w:cs="Arial"/>
          <w:b/>
          <w:color w:val="000000" w:themeColor="text1"/>
          <w:kern w:val="0"/>
          <w:sz w:val="20"/>
          <w:szCs w:val="20"/>
          <w:highlight w:val="none"/>
          <w:lang w:val="es-ES" w:eastAsia="es-PE"/>
          <w14:textFill>
            <w14:solidFill>
              <w14:schemeClr w14:val="tx1"/>
            </w14:solidFill>
          </w14:textFill>
          <w14:ligatures w14:val="none"/>
        </w:rPr>
        <w:t>VII.DIFICULTADES (</w:t>
      </w:r>
      <w:r>
        <w:rPr>
          <w:rFonts w:ascii="Arial" w:hAnsi="Arial" w:eastAsia="Times New Roman" w:cs="Arial"/>
          <w:bCs/>
          <w:color w:val="000000" w:themeColor="text1"/>
          <w:kern w:val="0"/>
          <w:sz w:val="20"/>
          <w:szCs w:val="20"/>
          <w:highlight w:val="none"/>
          <w:lang w:val="es-ES" w:eastAsia="es-PE"/>
          <w14:textFill>
            <w14:solidFill>
              <w14:schemeClr w14:val="tx1"/>
            </w14:solidFill>
          </w14:textFill>
          <w14:ligatures w14:val="none"/>
        </w:rPr>
        <w:t>Problemas</w:t>
      </w:r>
      <w:r>
        <w:rPr>
          <w:rFonts w:ascii="Arial" w:hAnsi="Arial" w:eastAsia="Times New Roman" w:cs="Arial"/>
          <w:b/>
          <w:color w:val="000000" w:themeColor="text1"/>
          <w:kern w:val="0"/>
          <w:sz w:val="20"/>
          <w:szCs w:val="20"/>
          <w:highlight w:val="none"/>
          <w:lang w:val="es-ES" w:eastAsia="es-PE"/>
          <w14:textFill>
            <w14:solidFill>
              <w14:schemeClr w14:val="tx1"/>
            </w14:solidFill>
          </w14:textFill>
          <w14:ligatures w14:val="none"/>
        </w:rPr>
        <w:t xml:space="preserve"> </w:t>
      </w:r>
      <w:r>
        <w:rPr>
          <w:rFonts w:ascii="Arial" w:hAnsi="Arial" w:eastAsia="Times New Roman" w:cs="Arial"/>
          <w:bCs/>
          <w:color w:val="000000" w:themeColor="text1"/>
          <w:kern w:val="0"/>
          <w:sz w:val="20"/>
          <w:szCs w:val="20"/>
          <w:highlight w:val="none"/>
          <w:lang w:val="es-ES" w:eastAsia="es-PE"/>
          <w14:textFill>
            <w14:solidFill>
              <w14:schemeClr w14:val="tx1"/>
            </w14:solidFill>
          </w14:textFill>
          <w14:ligatures w14:val="none"/>
        </w:rPr>
        <w:t>o licitaciones durante la ejecución del servicio)</w:t>
      </w:r>
    </w:p>
    <w:p w14:paraId="4BE76CF7">
      <w:pPr>
        <w:spacing w:before="240" w:after="200" w:line="360" w:lineRule="auto"/>
        <w:ind w:left="1416" w:right="425"/>
        <w:contextualSpacing/>
        <w:jc w:val="both"/>
        <w:rPr>
          <w:rFonts w:ascii="Arial" w:hAnsi="Arial" w:eastAsia="Times New Roman" w:cs="Arial"/>
          <w:b/>
          <w:color w:val="000000" w:themeColor="text1"/>
          <w:kern w:val="0"/>
          <w:sz w:val="20"/>
          <w:szCs w:val="20"/>
          <w:highlight w:val="none"/>
          <w:lang w:val="es-ES" w:eastAsia="es-PE"/>
          <w14:textFill>
            <w14:solidFill>
              <w14:schemeClr w14:val="tx1"/>
            </w14:solidFill>
          </w14:textFill>
          <w14:ligatures w14:val="none"/>
        </w:rPr>
      </w:pPr>
      <w:r>
        <w:rPr>
          <w:rFonts w:ascii="Arial" w:hAnsi="Arial" w:eastAsia="Times New Roman" w:cs="Arial"/>
          <w:b/>
          <w:color w:val="000000" w:themeColor="text1"/>
          <w:kern w:val="0"/>
          <w:sz w:val="20"/>
          <w:szCs w:val="20"/>
          <w:highlight w:val="none"/>
          <w:lang w:val="es-ES" w:eastAsia="es-PE"/>
          <w14:textFill>
            <w14:solidFill>
              <w14:schemeClr w14:val="tx1"/>
            </w14:solidFill>
          </w14:textFill>
          <w14:ligatures w14:val="none"/>
        </w:rPr>
        <w:t xml:space="preserve">VIII.CONCLUSIONES </w:t>
      </w:r>
      <w:r>
        <w:rPr>
          <w:rFonts w:ascii="Arial" w:hAnsi="Arial" w:eastAsia="Times New Roman" w:cs="Arial"/>
          <w:bCs/>
          <w:color w:val="000000" w:themeColor="text1"/>
          <w:kern w:val="0"/>
          <w:sz w:val="20"/>
          <w:szCs w:val="20"/>
          <w:highlight w:val="none"/>
          <w:lang w:val="es-ES" w:eastAsia="es-PE"/>
          <w14:textFill>
            <w14:solidFill>
              <w14:schemeClr w14:val="tx1"/>
            </w14:solidFill>
          </w14:textFill>
          <w14:ligatures w14:val="none"/>
        </w:rPr>
        <w:t>(evaluación final sobre la ejecución del proyecto de Fiscalizacion)</w:t>
      </w:r>
    </w:p>
    <w:p w14:paraId="084C1C6C">
      <w:pPr>
        <w:spacing w:before="240" w:after="200" w:line="360" w:lineRule="auto"/>
        <w:ind w:left="1416" w:right="425"/>
        <w:contextualSpacing/>
        <w:jc w:val="both"/>
        <w:rPr>
          <w:rFonts w:ascii="Arial" w:hAnsi="Arial" w:eastAsia="Times New Roman" w:cs="Arial"/>
          <w:bCs/>
          <w:color w:val="000000" w:themeColor="text1"/>
          <w:kern w:val="0"/>
          <w:sz w:val="20"/>
          <w:szCs w:val="20"/>
          <w:highlight w:val="none"/>
          <w:lang w:val="es-ES" w:eastAsia="es-PE"/>
          <w14:textFill>
            <w14:solidFill>
              <w14:schemeClr w14:val="tx1"/>
            </w14:solidFill>
          </w14:textFill>
          <w14:ligatures w14:val="none"/>
        </w:rPr>
      </w:pPr>
      <w:r>
        <w:rPr>
          <w:rFonts w:ascii="Arial" w:hAnsi="Arial" w:eastAsia="Times New Roman" w:cs="Arial"/>
          <w:b/>
          <w:color w:val="000000" w:themeColor="text1"/>
          <w:kern w:val="0"/>
          <w:sz w:val="20"/>
          <w:szCs w:val="20"/>
          <w:highlight w:val="none"/>
          <w:lang w:val="es-ES" w:eastAsia="es-PE"/>
          <w14:textFill>
            <w14:solidFill>
              <w14:schemeClr w14:val="tx1"/>
            </w14:solidFill>
          </w14:textFill>
          <w14:ligatures w14:val="none"/>
        </w:rPr>
        <w:t>IX.RECOMENDACIONES</w:t>
      </w:r>
      <w:r>
        <w:rPr>
          <w:rFonts w:ascii="Arial" w:hAnsi="Arial" w:eastAsia="Times New Roman" w:cs="Arial"/>
          <w:bCs/>
          <w:color w:val="000000" w:themeColor="text1"/>
          <w:kern w:val="0"/>
          <w:sz w:val="20"/>
          <w:szCs w:val="20"/>
          <w:highlight w:val="none"/>
          <w:lang w:val="es-ES" w:eastAsia="es-PE"/>
          <w14:textFill>
            <w14:solidFill>
              <w14:schemeClr w14:val="tx1"/>
            </w14:solidFill>
          </w14:textFill>
          <w14:ligatures w14:val="none"/>
        </w:rPr>
        <w:t>. (Propuesta de mejoras o medida)</w:t>
      </w:r>
    </w:p>
    <w:p w14:paraId="28371CE1">
      <w:pPr>
        <w:spacing w:before="240" w:after="200" w:line="360" w:lineRule="auto"/>
        <w:ind w:left="1416"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X</w:t>
      </w:r>
      <w:r>
        <w:rPr>
          <w:rFonts w:ascii="Arial" w:hAnsi="Arial" w:eastAsia="Times New Roman" w:cs="Arial"/>
          <w:bCs/>
          <w:kern w:val="0"/>
          <w:sz w:val="20"/>
          <w:szCs w:val="20"/>
          <w:highlight w:val="none"/>
          <w:lang w:val="es-ES" w:eastAsia="es-PE"/>
          <w14:ligatures w14:val="none"/>
        </w:rPr>
        <w:t>.</w:t>
      </w:r>
      <w:r>
        <w:rPr>
          <w:rFonts w:ascii="Arial" w:hAnsi="Arial" w:eastAsia="Times New Roman" w:cs="Arial"/>
          <w:b/>
          <w:kern w:val="0"/>
          <w:sz w:val="20"/>
          <w:szCs w:val="20"/>
          <w:highlight w:val="none"/>
          <w:lang w:val="es-ES" w:eastAsia="es-PE"/>
          <w14:ligatures w14:val="none"/>
        </w:rPr>
        <w:t xml:space="preserve"> ANEXOS</w:t>
      </w:r>
      <w:r>
        <w:rPr>
          <w:rFonts w:ascii="Arial" w:hAnsi="Arial" w:eastAsia="Times New Roman" w:cs="Arial"/>
          <w:bCs/>
          <w:kern w:val="0"/>
          <w:sz w:val="20"/>
          <w:szCs w:val="20"/>
          <w:highlight w:val="none"/>
          <w:lang w:val="es-ES" w:eastAsia="es-PE"/>
          <w14:ligatures w14:val="none"/>
        </w:rPr>
        <w:t xml:space="preserve"> (Actas, fotografías, documentos sustentatorios, entre otros al proyecto de fiscalizado)</w:t>
      </w:r>
    </w:p>
    <w:p w14:paraId="6AEB02CB">
      <w:pPr>
        <w:spacing w:before="240" w:after="200" w:line="360"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h) Presentar el informe de fiscalización señalado en ítem e) a la Secretaría del Consejo Regional de Ucayali en físico y digital (formato Word), mediante un oficio o carta dirigido a la Secretaria del Consejo Regional de Ucayali, firmado por los profesionales responsables a su elaboración, en un plazo de </w:t>
      </w:r>
      <w:r>
        <w:rPr>
          <w:rFonts w:ascii="Arial" w:hAnsi="Arial" w:eastAsia="Times New Roman" w:cs="Arial"/>
          <w:b/>
          <w:kern w:val="0"/>
          <w:sz w:val="20"/>
          <w:szCs w:val="20"/>
          <w:highlight w:val="none"/>
          <w:lang w:val="es-ES" w:eastAsia="es-PE"/>
          <w14:ligatures w14:val="none"/>
        </w:rPr>
        <w:t>cincuent</w:t>
      </w:r>
      <w:r>
        <w:rPr>
          <w:rFonts w:hint="default" w:ascii="Arial" w:hAnsi="Arial" w:eastAsia="Times New Roman" w:cs="Arial"/>
          <w:b/>
          <w:kern w:val="0"/>
          <w:sz w:val="20"/>
          <w:szCs w:val="20"/>
          <w:highlight w:val="none"/>
          <w:lang w:val="es-ES" w:eastAsia="es-PE"/>
          <w14:ligatures w14:val="none"/>
        </w:rPr>
        <w:t>a</w:t>
      </w:r>
      <w:r>
        <w:rPr>
          <w:rFonts w:ascii="Arial" w:hAnsi="Arial" w:eastAsia="Times New Roman" w:cs="Arial"/>
          <w:b/>
          <w:kern w:val="0"/>
          <w:sz w:val="20"/>
          <w:szCs w:val="20"/>
          <w:highlight w:val="none"/>
          <w:lang w:val="es-ES" w:eastAsia="es-PE"/>
          <w14:ligatures w14:val="none"/>
        </w:rPr>
        <w:t xml:space="preserve"> (</w:t>
      </w:r>
      <w:r>
        <w:rPr>
          <w:rFonts w:hint="default" w:ascii="Arial" w:hAnsi="Arial" w:eastAsia="Times New Roman" w:cs="Arial"/>
          <w:b/>
          <w:kern w:val="0"/>
          <w:sz w:val="20"/>
          <w:szCs w:val="20"/>
          <w:highlight w:val="none"/>
          <w:lang w:val="es-ES" w:eastAsia="es-PE"/>
          <w14:ligatures w14:val="none"/>
        </w:rPr>
        <w:t>50</w:t>
      </w:r>
      <w:r>
        <w:rPr>
          <w:rFonts w:ascii="Arial" w:hAnsi="Arial" w:eastAsia="Times New Roman" w:cs="Arial"/>
          <w:b/>
          <w:kern w:val="0"/>
          <w:sz w:val="20"/>
          <w:szCs w:val="20"/>
          <w:highlight w:val="none"/>
          <w:lang w:val="es-ES" w:eastAsia="es-PE"/>
          <w14:ligatures w14:val="none"/>
        </w:rPr>
        <w:t>) días</w:t>
      </w:r>
      <w:r>
        <w:rPr>
          <w:rFonts w:ascii="Arial" w:hAnsi="Arial" w:eastAsia="Times New Roman" w:cs="Arial"/>
          <w:bCs/>
          <w:kern w:val="0"/>
          <w:sz w:val="20"/>
          <w:szCs w:val="20"/>
          <w:highlight w:val="none"/>
          <w:lang w:val="es-ES" w:eastAsia="es-PE"/>
          <w14:ligatures w14:val="none"/>
        </w:rPr>
        <w:t xml:space="preserve"> </w:t>
      </w:r>
      <w:r>
        <w:rPr>
          <w:rFonts w:hint="default" w:ascii="Arial" w:hAnsi="Arial" w:eastAsia="Times New Roman" w:cs="Arial"/>
          <w:bCs/>
          <w:kern w:val="0"/>
          <w:sz w:val="20"/>
          <w:szCs w:val="20"/>
          <w:highlight w:val="none"/>
          <w:lang w:val="es-ES" w:eastAsia="es-PE"/>
          <w14:ligatures w14:val="none"/>
        </w:rPr>
        <w:t>habiles</w:t>
      </w:r>
      <w:r>
        <w:rPr>
          <w:rFonts w:ascii="Arial" w:hAnsi="Arial" w:eastAsia="Times New Roman" w:cs="Arial"/>
          <w:bCs/>
          <w:kern w:val="0"/>
          <w:sz w:val="20"/>
          <w:szCs w:val="20"/>
          <w:highlight w:val="none"/>
          <w:lang w:val="es-ES" w:eastAsia="es-PE"/>
          <w14:ligatures w14:val="none"/>
        </w:rPr>
        <w:t xml:space="preserve"> posteriores a la culminación del trabajo de campo.</w:t>
      </w:r>
    </w:p>
    <w:p w14:paraId="54D7225A">
      <w:pPr>
        <w:spacing w:before="240" w:after="200" w:line="360" w:lineRule="auto"/>
        <w:ind w:left="567" w:right="425"/>
        <w:contextualSpacing/>
        <w:jc w:val="both"/>
        <w:rPr>
          <w:rFonts w:ascii="Arial" w:hAnsi="Arial" w:eastAsia="Times New Roman" w:cs="Arial"/>
          <w:bCs/>
          <w:kern w:val="0"/>
          <w:sz w:val="20"/>
          <w:szCs w:val="20"/>
          <w:highlight w:val="none"/>
          <w:lang w:val="es-ES" w:eastAsia="es-PE"/>
          <w14:ligatures w14:val="none"/>
        </w:rPr>
      </w:pPr>
    </w:p>
    <w:p w14:paraId="5C4DB33B">
      <w:pPr>
        <w:spacing w:before="240" w:after="200" w:line="276"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NOTA:</w:t>
      </w:r>
      <w:r>
        <w:rPr>
          <w:rFonts w:ascii="Arial" w:hAnsi="Arial" w:eastAsia="Times New Roman" w:cs="Arial"/>
          <w:bCs/>
          <w:kern w:val="0"/>
          <w:sz w:val="20"/>
          <w:szCs w:val="20"/>
          <w:highlight w:val="none"/>
          <w:lang w:val="es-ES" w:eastAsia="es-PE"/>
          <w14:ligatures w14:val="none"/>
        </w:rPr>
        <w:t xml:space="preserve"> Bienes e Insumos que se utilizaran para el cumplimiento eficiente de las actividades para procesar la información. (laptop, vehículos, lapiceros, impresora, papel, y otros que considere necesarios para el desarrollo de la actividad de fiscalización).</w:t>
      </w:r>
    </w:p>
    <w:p w14:paraId="2BE1C4CA">
      <w:pPr>
        <w:spacing w:before="240" w:after="200" w:line="360" w:lineRule="auto"/>
        <w:ind w:left="567" w:right="425"/>
        <w:contextualSpacing/>
        <w:jc w:val="both"/>
        <w:rPr>
          <w:rFonts w:hint="default"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Si en caso requiera realizar viajes a otros lugares con gastos de pasajes y viáticos serán asumidos por el proveedor.</w:t>
      </w:r>
      <w:r>
        <w:rPr>
          <w:rFonts w:hint="default" w:ascii="Arial" w:hAnsi="Arial" w:eastAsia="Times New Roman" w:cs="Arial"/>
          <w:bCs/>
          <w:kern w:val="0"/>
          <w:sz w:val="20"/>
          <w:szCs w:val="20"/>
          <w:highlight w:val="none"/>
          <w:lang w:val="es-ES" w:eastAsia="es-PE"/>
          <w14:ligatures w14:val="none"/>
        </w:rPr>
        <w:t xml:space="preserve">J </w:t>
      </w:r>
    </w:p>
    <w:p w14:paraId="0F473182">
      <w:pPr>
        <w:numPr>
          <w:ilvl w:val="0"/>
          <w:numId w:val="1"/>
        </w:numPr>
        <w:spacing w:before="240" w:after="200" w:line="360" w:lineRule="auto"/>
        <w:ind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REQUISITOS M</w:t>
      </w:r>
      <w:r>
        <w:rPr>
          <w:rFonts w:hint="default" w:ascii="Arial" w:hAnsi="Arial" w:eastAsia="Times New Roman" w:cs="Arial"/>
          <w:b/>
          <w:kern w:val="0"/>
          <w:sz w:val="20"/>
          <w:szCs w:val="20"/>
          <w:highlight w:val="none"/>
          <w:lang w:val="es-ES" w:eastAsia="es-PE"/>
          <w14:ligatures w14:val="none"/>
        </w:rPr>
        <w:t>I</w:t>
      </w:r>
      <w:r>
        <w:rPr>
          <w:rFonts w:ascii="Arial" w:hAnsi="Arial" w:eastAsia="Times New Roman" w:cs="Arial"/>
          <w:b/>
          <w:kern w:val="0"/>
          <w:sz w:val="20"/>
          <w:szCs w:val="20"/>
          <w:highlight w:val="none"/>
          <w:lang w:val="es-ES" w:eastAsia="es-PE"/>
          <w14:ligatures w14:val="none"/>
        </w:rPr>
        <w:t>N</w:t>
      </w:r>
      <w:r>
        <w:rPr>
          <w:rFonts w:hint="default" w:ascii="Arial" w:hAnsi="Arial" w:eastAsia="Times New Roman" w:cs="Arial"/>
          <w:b/>
          <w:kern w:val="0"/>
          <w:sz w:val="20"/>
          <w:szCs w:val="20"/>
          <w:highlight w:val="none"/>
          <w:lang w:val="es-ES" w:eastAsia="es-PE"/>
          <w14:ligatures w14:val="none"/>
        </w:rPr>
        <w:t>I</w:t>
      </w:r>
      <w:r>
        <w:rPr>
          <w:rFonts w:ascii="Arial" w:hAnsi="Arial" w:eastAsia="Times New Roman" w:cs="Arial"/>
          <w:b/>
          <w:kern w:val="0"/>
          <w:sz w:val="20"/>
          <w:szCs w:val="20"/>
          <w:highlight w:val="none"/>
          <w:lang w:val="es-ES" w:eastAsia="es-PE"/>
          <w14:ligatures w14:val="none"/>
        </w:rPr>
        <w:t xml:space="preserve">IMOS DEL LOCADOR </w:t>
      </w:r>
    </w:p>
    <w:p w14:paraId="3942FD94">
      <w:pPr>
        <w:spacing w:before="240" w:after="200" w:line="360" w:lineRule="auto"/>
        <w:ind w:left="1080"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6.1 Formación Académica.</w:t>
      </w:r>
    </w:p>
    <w:p w14:paraId="5A06D6D4">
      <w:pPr>
        <w:spacing w:before="240" w:after="200" w:line="276" w:lineRule="auto"/>
        <w:ind w:left="1080" w:right="425"/>
        <w:contextualSpacing/>
        <w:jc w:val="both"/>
        <w:rPr>
          <w:rFonts w:ascii="Arial" w:hAnsi="Arial" w:eastAsia="Times New Roman" w:cs="Arial"/>
          <w:bCs/>
          <w:kern w:val="0"/>
          <w:sz w:val="20"/>
          <w:szCs w:val="20"/>
          <w:highlight w:val="none"/>
          <w:lang w:val="es-ES" w:eastAsia="es-PE"/>
          <w14:ligatures w14:val="none"/>
        </w:rPr>
      </w:pPr>
      <w:bookmarkStart w:id="2" w:name="_Hlk208840938"/>
      <w:r>
        <w:rPr>
          <w:rFonts w:ascii="Arial" w:hAnsi="Arial" w:eastAsia="Times New Roman" w:cs="Arial"/>
          <w:bCs/>
          <w:kern w:val="0"/>
          <w:sz w:val="20"/>
          <w:szCs w:val="20"/>
          <w:highlight w:val="none"/>
          <w:lang w:val="es-ES" w:eastAsia="es-PE"/>
          <w14:ligatures w14:val="none"/>
        </w:rPr>
        <w:t xml:space="preserve">Persona Natural con </w:t>
      </w:r>
      <w:r>
        <w:rPr>
          <w:rFonts w:hint="default" w:ascii="Arial" w:hAnsi="Arial" w:eastAsia="Times New Roman" w:cs="Arial"/>
          <w:bCs/>
          <w:kern w:val="0"/>
          <w:sz w:val="20"/>
          <w:szCs w:val="20"/>
          <w:highlight w:val="none"/>
          <w:lang w:val="es-ES" w:eastAsia="es-PE"/>
          <w14:ligatures w14:val="none"/>
        </w:rPr>
        <w:t xml:space="preserve">Diploma de Bachiller en Derecho y Ciencias Politicas </w:t>
      </w:r>
      <w:r>
        <w:rPr>
          <w:rFonts w:ascii="Arial" w:hAnsi="Arial" w:eastAsia="Times New Roman" w:cs="Arial"/>
          <w:bCs/>
          <w:kern w:val="0"/>
          <w:sz w:val="20"/>
          <w:szCs w:val="20"/>
          <w:highlight w:val="none"/>
          <w:lang w:val="es-ES" w:eastAsia="es-PE"/>
          <w14:ligatures w14:val="none"/>
        </w:rPr>
        <w:t xml:space="preserve"> y/o </w:t>
      </w:r>
      <w:r>
        <w:rPr>
          <w:rFonts w:hint="default" w:ascii="Arial" w:hAnsi="Arial" w:eastAsia="Times New Roman" w:cs="Arial"/>
          <w:bCs/>
          <w:kern w:val="0"/>
          <w:sz w:val="20"/>
          <w:szCs w:val="20"/>
          <w:highlight w:val="none"/>
          <w:lang w:val="es-ES" w:eastAsia="es-PE"/>
          <w14:ligatures w14:val="none"/>
        </w:rPr>
        <w:t xml:space="preserve">Jurisdiccional. </w:t>
      </w:r>
      <w:r>
        <w:rPr>
          <w:rFonts w:ascii="Arial" w:hAnsi="Arial" w:eastAsia="Times New Roman" w:cs="Arial"/>
          <w:bCs/>
          <w:kern w:val="0"/>
          <w:sz w:val="20"/>
          <w:szCs w:val="20"/>
          <w:highlight w:val="none"/>
          <w:lang w:val="es-ES" w:eastAsia="es-PE"/>
          <w14:ligatures w14:val="none"/>
        </w:rPr>
        <w:t xml:space="preserve"> otorgado por la Universidad reconocida por SUNEDU.</w:t>
      </w:r>
    </w:p>
    <w:p w14:paraId="12139E3A">
      <w:pPr>
        <w:spacing w:after="200" w:line="240" w:lineRule="auto"/>
        <w:ind w:left="1080" w:right="425"/>
        <w:contextualSpacing/>
        <w:jc w:val="both"/>
        <w:rPr>
          <w:rFonts w:ascii="Arial" w:hAnsi="Arial" w:eastAsia="Times New Roman" w:cs="Arial"/>
          <w:bCs/>
          <w:kern w:val="0"/>
          <w:sz w:val="20"/>
          <w:szCs w:val="20"/>
          <w:highlight w:val="none"/>
          <w:lang w:val="es-ES" w:eastAsia="es-PE"/>
          <w14:ligatures w14:val="none"/>
        </w:rPr>
      </w:pPr>
    </w:p>
    <w:p w14:paraId="536C6878">
      <w:pPr>
        <w:spacing w:before="240" w:after="200" w:line="360" w:lineRule="auto"/>
        <w:ind w:left="1080"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6.2 Experiencia:</w:t>
      </w:r>
    </w:p>
    <w:p w14:paraId="6B8BB34E">
      <w:pPr>
        <w:spacing w:before="240" w:after="200" w:line="276" w:lineRule="auto"/>
        <w:ind w:left="1560"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 xml:space="preserve">General: </w:t>
      </w:r>
      <w:r>
        <w:rPr>
          <w:rFonts w:ascii="Arial" w:hAnsi="Arial" w:eastAsia="Times New Roman" w:cs="Arial"/>
          <w:bCs/>
          <w:kern w:val="0"/>
          <w:sz w:val="20"/>
          <w:szCs w:val="20"/>
          <w:highlight w:val="none"/>
          <w:lang w:val="es-ES" w:eastAsia="es-PE"/>
          <w14:ligatures w14:val="none"/>
        </w:rPr>
        <w:t>Experiencia mínima de dos (02) años laborando y/o prestando servicio en entidades público y/o privado.</w:t>
      </w:r>
    </w:p>
    <w:p w14:paraId="3C5C7E6F">
      <w:pPr>
        <w:spacing w:before="240" w:after="200" w:line="276" w:lineRule="auto"/>
        <w:ind w:left="1560"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 xml:space="preserve">Especifica: </w:t>
      </w:r>
      <w:r>
        <w:rPr>
          <w:rFonts w:ascii="Arial" w:hAnsi="Arial" w:eastAsia="Times New Roman" w:cs="Arial"/>
          <w:bCs/>
          <w:kern w:val="0"/>
          <w:sz w:val="20"/>
          <w:szCs w:val="20"/>
          <w:highlight w:val="none"/>
          <w:lang w:val="es-ES" w:eastAsia="es-PE"/>
          <w14:ligatures w14:val="none"/>
        </w:rPr>
        <w:t>Experiencia mínima de un (01) año laborando y/o prestando servicio como Asistente Legal en entidades públicas y/o privadas</w:t>
      </w:r>
    </w:p>
    <w:bookmarkEnd w:id="2"/>
    <w:p w14:paraId="1876BBEC">
      <w:pPr>
        <w:spacing w:before="240" w:after="200" w:line="276" w:lineRule="auto"/>
        <w:ind w:left="1560" w:right="425"/>
        <w:contextualSpacing/>
        <w:jc w:val="both"/>
        <w:rPr>
          <w:rFonts w:ascii="Arial" w:hAnsi="Arial" w:eastAsia="Times New Roman" w:cs="Arial"/>
          <w:b/>
          <w:kern w:val="0"/>
          <w:sz w:val="20"/>
          <w:szCs w:val="20"/>
          <w:highlight w:val="none"/>
          <w:lang w:val="es-ES" w:eastAsia="es-PE"/>
          <w14:ligatures w14:val="none"/>
        </w:rPr>
      </w:pPr>
    </w:p>
    <w:p w14:paraId="2D08B754">
      <w:pPr>
        <w:spacing w:before="240" w:after="200" w:line="276" w:lineRule="auto"/>
        <w:ind w:left="1080" w:right="425"/>
        <w:contextualSpacing/>
        <w:jc w:val="both"/>
        <w:rPr>
          <w:rFonts w:ascii="Arial" w:hAnsi="Arial" w:eastAsia="Times New Roman" w:cs="Arial"/>
          <w:b/>
          <w:kern w:val="0"/>
          <w:sz w:val="20"/>
          <w:szCs w:val="20"/>
          <w:highlight w:val="none"/>
          <w:lang w:val="es-ES" w:eastAsia="es-PE"/>
          <w14:ligatures w14:val="none"/>
        </w:rPr>
      </w:pPr>
      <w:bookmarkStart w:id="3" w:name="_Hlk208841091"/>
      <w:r>
        <w:rPr>
          <w:rFonts w:ascii="Arial" w:hAnsi="Arial" w:eastAsia="Times New Roman" w:cs="Arial"/>
          <w:b/>
          <w:kern w:val="0"/>
          <w:sz w:val="20"/>
          <w:szCs w:val="20"/>
          <w:highlight w:val="none"/>
          <w:lang w:val="es-ES" w:eastAsia="es-PE"/>
          <w14:ligatures w14:val="none"/>
        </w:rPr>
        <w:t>Acreditación:</w:t>
      </w:r>
    </w:p>
    <w:p w14:paraId="2E58CC83">
      <w:pPr>
        <w:spacing w:before="240" w:after="200" w:line="276" w:lineRule="auto"/>
        <w:ind w:left="1080"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La experiencia del personal calve se acreditará con cualquiera de los siguientes documentos: (i) copia simple de contrato y su respectiva conformidad o (ii) constancias o (iii) certificados o (iv) cualquier otro documento que, de manera fehaciente demuestre la experiencia del personal propuesto.</w:t>
      </w:r>
    </w:p>
    <w:bookmarkEnd w:id="3"/>
    <w:p w14:paraId="054D1EAC">
      <w:pPr>
        <w:spacing w:before="240" w:after="200" w:line="276" w:lineRule="auto"/>
        <w:ind w:left="1080" w:right="425"/>
        <w:contextualSpacing/>
        <w:jc w:val="both"/>
        <w:rPr>
          <w:rFonts w:ascii="Arial" w:hAnsi="Arial" w:eastAsia="Times New Roman" w:cs="Arial"/>
          <w:bCs/>
          <w:kern w:val="0"/>
          <w:sz w:val="20"/>
          <w:szCs w:val="20"/>
          <w:highlight w:val="none"/>
          <w:lang w:val="es-ES" w:eastAsia="es-PE"/>
          <w14:ligatures w14:val="none"/>
        </w:rPr>
      </w:pPr>
    </w:p>
    <w:p w14:paraId="436B4FBA">
      <w:pPr>
        <w:spacing w:before="240" w:after="0" w:line="360" w:lineRule="auto"/>
        <w:ind w:left="1080"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6.3 Capacitación</w:t>
      </w:r>
    </w:p>
    <w:p w14:paraId="76E3CBE6">
      <w:pPr>
        <w:spacing w:before="240" w:after="0" w:line="360" w:lineRule="auto"/>
        <w:ind w:left="1080"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Capacitaciones, Diplomados con una duración mínima de 20 horas acumuladas en al menos de los siguientes temas:</w:t>
      </w:r>
    </w:p>
    <w:p w14:paraId="7FCDEC9D">
      <w:pPr>
        <w:pStyle w:val="29"/>
        <w:numPr>
          <w:ilvl w:val="0"/>
          <w:numId w:val="4"/>
        </w:numPr>
        <w:spacing w:after="4" w:line="255" w:lineRule="auto"/>
        <w:ind w:left="1776"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Sistema administrativo de Gestión de Procesos.</w:t>
      </w:r>
    </w:p>
    <w:p w14:paraId="403093E1">
      <w:pPr>
        <w:pStyle w:val="29"/>
        <w:numPr>
          <w:ilvl w:val="0"/>
          <w:numId w:val="4"/>
        </w:numPr>
        <w:spacing w:after="4" w:line="255" w:lineRule="auto"/>
        <w:ind w:left="1776"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Principios Generales de la Gestión Pública.</w:t>
      </w:r>
    </w:p>
    <w:p w14:paraId="05FB3144">
      <w:pPr>
        <w:spacing w:after="4" w:line="255" w:lineRule="auto"/>
        <w:ind w:left="2469" w:right="425"/>
        <w:jc w:val="both"/>
        <w:rPr>
          <w:rFonts w:ascii="Arial" w:hAnsi="Arial" w:eastAsia="Times New Roman" w:cs="Arial"/>
          <w:kern w:val="0"/>
          <w:sz w:val="20"/>
          <w:szCs w:val="20"/>
          <w:highlight w:val="none"/>
          <w:lang w:eastAsia="es-PE"/>
          <w14:ligatures w14:val="none"/>
        </w:rPr>
      </w:pPr>
    </w:p>
    <w:p w14:paraId="72F14122">
      <w:pPr>
        <w:spacing w:after="4" w:line="276" w:lineRule="auto"/>
        <w:ind w:left="1134" w:right="425"/>
        <w:jc w:val="both"/>
        <w:rPr>
          <w:rFonts w:ascii="Arial" w:hAnsi="Arial" w:eastAsia="Times New Roman" w:cs="Arial"/>
          <w:b/>
          <w:bCs/>
          <w:kern w:val="0"/>
          <w:sz w:val="20"/>
          <w:szCs w:val="20"/>
          <w:highlight w:val="none"/>
          <w:lang w:eastAsia="es-PE"/>
          <w14:ligatures w14:val="none"/>
        </w:rPr>
      </w:pPr>
      <w:r>
        <w:rPr>
          <w:rFonts w:ascii="Arial" w:hAnsi="Arial" w:eastAsia="Times New Roman" w:cs="Arial"/>
          <w:b/>
          <w:bCs/>
          <w:kern w:val="0"/>
          <w:sz w:val="20"/>
          <w:szCs w:val="20"/>
          <w:highlight w:val="none"/>
          <w:lang w:eastAsia="es-PE"/>
          <w14:ligatures w14:val="none"/>
        </w:rPr>
        <w:t>Acreditación:</w:t>
      </w:r>
    </w:p>
    <w:p w14:paraId="0C49E765">
      <w:pPr>
        <w:spacing w:after="4" w:line="276" w:lineRule="auto"/>
        <w:ind w:left="1134"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Se acreditará con copia simple de CONSTANCIA, CERTIFICADOS, DOCUMENTOS, SEGÚN CORRESPONDA.</w:t>
      </w:r>
    </w:p>
    <w:p w14:paraId="76762638">
      <w:pPr>
        <w:spacing w:after="4" w:line="255" w:lineRule="auto"/>
        <w:ind w:right="425"/>
        <w:jc w:val="both"/>
        <w:rPr>
          <w:rFonts w:ascii="Arial" w:hAnsi="Arial" w:eastAsia="Times New Roman" w:cs="Arial"/>
          <w:kern w:val="0"/>
          <w:sz w:val="20"/>
          <w:szCs w:val="20"/>
          <w:highlight w:val="none"/>
          <w:lang w:eastAsia="es-PE"/>
          <w14:ligatures w14:val="none"/>
        </w:rPr>
      </w:pPr>
    </w:p>
    <w:p w14:paraId="4C7C7EC6">
      <w:pPr>
        <w:spacing w:before="240" w:after="200" w:line="360" w:lineRule="auto"/>
        <w:ind w:left="1080" w:right="425"/>
        <w:contextualSpacing/>
        <w:jc w:val="both"/>
        <w:rPr>
          <w:rFonts w:ascii="Arial" w:hAnsi="Arial" w:eastAsia="Times New Roman" w:cs="Arial"/>
          <w:b/>
          <w:kern w:val="0"/>
          <w:sz w:val="20"/>
          <w:szCs w:val="20"/>
          <w:highlight w:val="none"/>
          <w:lang w:val="es-ES" w:eastAsia="es-PE"/>
          <w14:ligatures w14:val="none"/>
        </w:rPr>
      </w:pPr>
      <w:bookmarkStart w:id="4" w:name="_Hlk208843220"/>
      <w:r>
        <w:rPr>
          <w:rFonts w:ascii="Arial" w:hAnsi="Arial" w:eastAsia="Times New Roman" w:cs="Arial"/>
          <w:b/>
          <w:kern w:val="0"/>
          <w:sz w:val="20"/>
          <w:szCs w:val="20"/>
          <w:highlight w:val="none"/>
          <w:lang w:val="es-ES" w:eastAsia="es-PE"/>
          <w14:ligatures w14:val="none"/>
        </w:rPr>
        <w:t>6.4 Otros</w:t>
      </w:r>
    </w:p>
    <w:p w14:paraId="1E9986E7">
      <w:pPr>
        <w:spacing w:before="240" w:after="200" w:line="276" w:lineRule="auto"/>
        <w:ind w:left="1080"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 xml:space="preserve">      </w:t>
      </w:r>
      <w:r>
        <w:rPr>
          <w:rFonts w:ascii="Arial" w:hAnsi="Arial" w:eastAsia="Times New Roman" w:cs="Arial"/>
          <w:bCs/>
          <w:kern w:val="0"/>
          <w:sz w:val="20"/>
          <w:szCs w:val="20"/>
          <w:highlight w:val="none"/>
          <w:lang w:val="es-ES" w:eastAsia="es-PE"/>
          <w14:ligatures w14:val="none"/>
        </w:rPr>
        <w:t>Constancia con Registro Nacional de Proveedores (RNP)</w:t>
      </w:r>
    </w:p>
    <w:p w14:paraId="6CA8DC48">
      <w:pPr>
        <w:spacing w:before="240" w:after="200" w:line="276" w:lineRule="auto"/>
        <w:ind w:left="1416"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Contar con Código de cuenta Interbancaria (CCI) – Cuenta relacionada al relacionada al número de RUC.</w:t>
      </w:r>
    </w:p>
    <w:p w14:paraId="3A353CC5">
      <w:pPr>
        <w:spacing w:before="240" w:after="200" w:line="276" w:lineRule="auto"/>
        <w:ind w:left="1080"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      Contar con Registro Único al Contribuyente (RUC) vigente</w:t>
      </w:r>
      <w:bookmarkEnd w:id="4"/>
      <w:r>
        <w:rPr>
          <w:rFonts w:ascii="Arial" w:hAnsi="Arial" w:eastAsia="Times New Roman" w:cs="Arial"/>
          <w:bCs/>
          <w:kern w:val="0"/>
          <w:sz w:val="20"/>
          <w:szCs w:val="20"/>
          <w:highlight w:val="none"/>
          <w:lang w:val="es-ES" w:eastAsia="es-PE"/>
          <w14:ligatures w14:val="none"/>
        </w:rPr>
        <w:t>.</w:t>
      </w:r>
    </w:p>
    <w:p w14:paraId="4380B313">
      <w:pPr>
        <w:spacing w:before="240" w:after="200" w:line="360" w:lineRule="auto"/>
        <w:ind w:left="1080"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        </w:t>
      </w:r>
    </w:p>
    <w:p w14:paraId="59AD3A2C">
      <w:pPr>
        <w:spacing w:before="240" w:after="200" w:line="360" w:lineRule="auto"/>
        <w:ind w:left="1134" w:right="425"/>
        <w:contextualSpacing/>
        <w:jc w:val="both"/>
        <w:rPr>
          <w:rFonts w:ascii="Arial" w:hAnsi="Arial" w:eastAsia="Times New Roman" w:cs="Arial"/>
          <w:bCs/>
          <w:kern w:val="0"/>
          <w:sz w:val="20"/>
          <w:szCs w:val="20"/>
          <w:highlight w:val="none"/>
          <w:lang w:val="es-ES" w:eastAsia="es-PE"/>
          <w14:ligatures w14:val="none"/>
        </w:rPr>
      </w:pPr>
    </w:p>
    <w:p w14:paraId="659D9FFF">
      <w:pPr>
        <w:numPr>
          <w:ilvl w:val="0"/>
          <w:numId w:val="1"/>
        </w:numPr>
        <w:spacing w:before="240" w:after="200" w:line="360" w:lineRule="auto"/>
        <w:ind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LUGAR Y PLAZO DE PRESTAC</w:t>
      </w:r>
      <w:r>
        <w:rPr>
          <w:rFonts w:hint="default" w:ascii="Arial" w:hAnsi="Arial" w:eastAsia="Times New Roman" w:cs="Arial"/>
          <w:b/>
          <w:kern w:val="0"/>
          <w:sz w:val="20"/>
          <w:szCs w:val="20"/>
          <w:highlight w:val="none"/>
          <w:lang w:val="es-ES" w:eastAsia="es-PE"/>
          <w14:ligatures w14:val="none"/>
        </w:rPr>
        <w:t>IO</w:t>
      </w:r>
      <w:r>
        <w:rPr>
          <w:rFonts w:ascii="Arial" w:hAnsi="Arial" w:eastAsia="Times New Roman" w:cs="Arial"/>
          <w:b/>
          <w:kern w:val="0"/>
          <w:sz w:val="20"/>
          <w:szCs w:val="20"/>
          <w:highlight w:val="none"/>
          <w:lang w:val="es-ES" w:eastAsia="es-PE"/>
          <w14:ligatures w14:val="none"/>
        </w:rPr>
        <w:t xml:space="preserve">N DEL SERVICIO </w:t>
      </w:r>
    </w:p>
    <w:p w14:paraId="6B0FD6B2">
      <w:pPr>
        <w:spacing w:before="240" w:after="200" w:line="360" w:lineRule="auto"/>
        <w:ind w:left="1080"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 xml:space="preserve">7.1 Lugar: </w:t>
      </w:r>
    </w:p>
    <w:p w14:paraId="59AC5B6E">
      <w:pPr>
        <w:spacing w:before="240" w:after="200" w:line="360" w:lineRule="auto"/>
        <w:ind w:left="1080"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 xml:space="preserve">Distrito De </w:t>
      </w:r>
      <w:r>
        <w:rPr>
          <w:rFonts w:hint="default" w:ascii="Arial" w:hAnsi="Arial" w:eastAsia="Times New Roman" w:cs="Arial"/>
          <w:bCs/>
          <w:kern w:val="0"/>
          <w:sz w:val="20"/>
          <w:szCs w:val="20"/>
          <w:highlight w:val="none"/>
          <w:lang w:val="es-ES" w:eastAsia="es-PE"/>
          <w14:ligatures w14:val="none"/>
        </w:rPr>
        <w:t>Padre Abad</w:t>
      </w:r>
      <w:r>
        <w:rPr>
          <w:rFonts w:ascii="Arial" w:hAnsi="Arial" w:eastAsia="Times New Roman" w:cs="Arial"/>
          <w:bCs/>
          <w:kern w:val="0"/>
          <w:sz w:val="20"/>
          <w:szCs w:val="20"/>
          <w:highlight w:val="none"/>
          <w:lang w:val="es-ES" w:eastAsia="es-PE"/>
          <w14:ligatures w14:val="none"/>
        </w:rPr>
        <w:t xml:space="preserve"> -Provincia de </w:t>
      </w:r>
      <w:r>
        <w:rPr>
          <w:rFonts w:hint="default" w:ascii="Arial" w:hAnsi="Arial" w:eastAsia="Times New Roman" w:cs="Arial"/>
          <w:bCs/>
          <w:kern w:val="0"/>
          <w:sz w:val="20"/>
          <w:szCs w:val="20"/>
          <w:highlight w:val="none"/>
          <w:lang w:val="es-ES" w:eastAsia="es-PE"/>
          <w14:ligatures w14:val="none"/>
        </w:rPr>
        <w:t>Padre Abad</w:t>
      </w:r>
      <w:r>
        <w:rPr>
          <w:rFonts w:ascii="Arial" w:hAnsi="Arial" w:eastAsia="Times New Roman" w:cs="Arial"/>
          <w:bCs/>
          <w:kern w:val="0"/>
          <w:sz w:val="20"/>
          <w:szCs w:val="20"/>
          <w:highlight w:val="none"/>
          <w:lang w:val="es-ES" w:eastAsia="es-PE"/>
          <w14:ligatures w14:val="none"/>
        </w:rPr>
        <w:t xml:space="preserve"> – Departamento de Ucayali. </w:t>
      </w:r>
    </w:p>
    <w:p w14:paraId="443C7309">
      <w:pPr>
        <w:spacing w:before="240" w:after="200" w:line="360" w:lineRule="auto"/>
        <w:ind w:left="1080"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 xml:space="preserve">7.2 Plazo: </w:t>
      </w:r>
    </w:p>
    <w:p w14:paraId="5E160592">
      <w:pPr>
        <w:spacing w:before="240" w:after="200" w:line="276" w:lineRule="auto"/>
        <w:ind w:left="1080" w:right="425"/>
        <w:contextualSpacing/>
        <w:jc w:val="both"/>
        <w:rPr>
          <w:rFonts w:ascii="Arial" w:hAnsi="Arial" w:eastAsia="Times New Roman" w:cs="Arial"/>
          <w:bCs/>
          <w:kern w:val="0"/>
          <w:sz w:val="20"/>
          <w:szCs w:val="20"/>
          <w:highlight w:val="none"/>
          <w:lang w:val="es-ES" w:eastAsia="es-PE"/>
          <w14:ligatures w14:val="none"/>
        </w:rPr>
      </w:pPr>
      <w:bookmarkStart w:id="5" w:name="_Hlk208843348"/>
      <w:r>
        <w:rPr>
          <w:rFonts w:ascii="Arial" w:hAnsi="Arial" w:eastAsia="Times New Roman" w:cs="Arial"/>
          <w:bCs/>
          <w:kern w:val="0"/>
          <w:sz w:val="20"/>
          <w:szCs w:val="20"/>
          <w:highlight w:val="none"/>
          <w:lang w:val="es-ES" w:eastAsia="es-PE"/>
          <w14:ligatures w14:val="none"/>
        </w:rPr>
        <w:t>El plazo del presente servicio se realizará hasta cincuenta (</w:t>
      </w:r>
      <w:r>
        <w:rPr>
          <w:rFonts w:hint="default" w:ascii="Arial" w:hAnsi="Arial" w:eastAsia="Times New Roman" w:cs="Arial"/>
          <w:bCs/>
          <w:kern w:val="0"/>
          <w:sz w:val="20"/>
          <w:szCs w:val="20"/>
          <w:highlight w:val="none"/>
          <w:lang w:val="es-ES" w:eastAsia="es-PE"/>
          <w14:ligatures w14:val="none"/>
        </w:rPr>
        <w:t>50</w:t>
      </w:r>
      <w:r>
        <w:rPr>
          <w:rFonts w:ascii="Arial" w:hAnsi="Arial" w:eastAsia="Times New Roman" w:cs="Arial"/>
          <w:bCs/>
          <w:kern w:val="0"/>
          <w:sz w:val="20"/>
          <w:szCs w:val="20"/>
          <w:highlight w:val="none"/>
          <w:lang w:val="es-ES" w:eastAsia="es-PE"/>
          <w14:ligatures w14:val="none"/>
        </w:rPr>
        <w:t xml:space="preserve">) días </w:t>
      </w:r>
      <w:r>
        <w:rPr>
          <w:rFonts w:hint="default" w:ascii="Arial" w:hAnsi="Arial" w:eastAsia="Times New Roman" w:cs="Arial"/>
          <w:bCs/>
          <w:kern w:val="0"/>
          <w:sz w:val="20"/>
          <w:szCs w:val="20"/>
          <w:highlight w:val="none"/>
          <w:lang w:val="es-ES" w:eastAsia="es-PE"/>
          <w14:ligatures w14:val="none"/>
        </w:rPr>
        <w:t>habiles</w:t>
      </w:r>
      <w:r>
        <w:rPr>
          <w:rFonts w:ascii="Arial" w:hAnsi="Arial" w:eastAsia="Times New Roman" w:cs="Arial"/>
          <w:bCs/>
          <w:kern w:val="0"/>
          <w:sz w:val="20"/>
          <w:szCs w:val="20"/>
          <w:highlight w:val="none"/>
          <w:lang w:val="es-ES" w:eastAsia="es-PE"/>
          <w14:ligatures w14:val="none"/>
        </w:rPr>
        <w:t xml:space="preserve"> contabilizado a partir del día siguiente de notificada la orden de servicio.</w:t>
      </w:r>
    </w:p>
    <w:bookmarkEnd w:id="5"/>
    <w:p w14:paraId="57C1E6D1">
      <w:pPr>
        <w:spacing w:before="240" w:after="200" w:line="360" w:lineRule="auto"/>
        <w:ind w:right="425"/>
        <w:contextualSpacing/>
        <w:jc w:val="both"/>
        <w:rPr>
          <w:rFonts w:ascii="Arial" w:hAnsi="Arial" w:eastAsia="Times New Roman" w:cs="Arial"/>
          <w:bCs/>
          <w:kern w:val="0"/>
          <w:sz w:val="20"/>
          <w:szCs w:val="20"/>
          <w:highlight w:val="none"/>
          <w:lang w:val="es-ES" w:eastAsia="es-PE"/>
          <w14:ligatures w14:val="none"/>
        </w:rPr>
      </w:pPr>
    </w:p>
    <w:p w14:paraId="7DB5E220">
      <w:pPr>
        <w:numPr>
          <w:ilvl w:val="0"/>
          <w:numId w:val="1"/>
        </w:numPr>
        <w:spacing w:before="240" w:after="200" w:line="360" w:lineRule="auto"/>
        <w:ind w:left="1134" w:right="425" w:hanging="708"/>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ENTREGABLES / PRODUCTO</w:t>
      </w:r>
    </w:p>
    <w:p w14:paraId="2F877B17">
      <w:pPr>
        <w:spacing w:before="240" w:after="200" w:line="276" w:lineRule="auto"/>
        <w:ind w:left="1134" w:right="425"/>
        <w:contextualSpacing/>
        <w:jc w:val="both"/>
        <w:rPr>
          <w:rFonts w:ascii="Arial" w:hAnsi="Arial" w:eastAsia="Times New Roman" w:cs="Arial"/>
          <w:bCs/>
          <w:kern w:val="0"/>
          <w:sz w:val="20"/>
          <w:szCs w:val="20"/>
          <w:highlight w:val="none"/>
          <w:lang w:eastAsia="es-PE"/>
          <w14:ligatures w14:val="none"/>
        </w:rPr>
      </w:pPr>
      <w:r>
        <w:rPr>
          <w:rFonts w:ascii="Arial" w:hAnsi="Arial" w:eastAsia="Times New Roman" w:cs="Arial"/>
          <w:bCs/>
          <w:kern w:val="0"/>
          <w:sz w:val="20"/>
          <w:szCs w:val="20"/>
          <w:highlight w:val="none"/>
          <w:lang w:eastAsia="es-PE"/>
          <w14:ligatures w14:val="none"/>
        </w:rPr>
        <w:t xml:space="preserve">El entregable será presentado a través de Secretaria de Consejo Regional de Ucayali. </w:t>
      </w:r>
    </w:p>
    <w:p w14:paraId="29D38CDF">
      <w:pPr>
        <w:spacing w:before="240" w:after="200" w:line="276" w:lineRule="auto"/>
        <w:ind w:left="1134" w:right="425"/>
        <w:contextualSpacing/>
        <w:jc w:val="both"/>
        <w:rPr>
          <w:rFonts w:ascii="Arial" w:hAnsi="Arial" w:eastAsia="Times New Roman" w:cs="Arial"/>
          <w:bCs/>
          <w:kern w:val="0"/>
          <w:sz w:val="20"/>
          <w:szCs w:val="20"/>
          <w:highlight w:val="none"/>
          <w:lang w:eastAsia="es-PE"/>
          <w14:ligatures w14:val="none"/>
        </w:rPr>
      </w:pPr>
    </w:p>
    <w:tbl>
      <w:tblPr>
        <w:tblStyle w:val="14"/>
        <w:tblW w:w="0" w:type="auto"/>
        <w:tblInd w:w="1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3"/>
        <w:gridCol w:w="1738"/>
        <w:gridCol w:w="4555"/>
      </w:tblGrid>
      <w:tr w14:paraId="0A76A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6" w:type="dxa"/>
          </w:tcPr>
          <w:p w14:paraId="68DDE56E">
            <w:pPr>
              <w:spacing w:before="240" w:after="200" w:line="276" w:lineRule="auto"/>
              <w:ind w:right="425"/>
              <w:contextualSpacing/>
              <w:jc w:val="center"/>
              <w:rPr>
                <w:rFonts w:ascii="Arial" w:hAnsi="Arial" w:eastAsia="Times New Roman" w:cs="Arial"/>
                <w:bCs/>
                <w:kern w:val="0"/>
                <w:sz w:val="20"/>
                <w:szCs w:val="20"/>
                <w:highlight w:val="none"/>
                <w:lang w:eastAsia="es-PE"/>
                <w14:ligatures w14:val="none"/>
              </w:rPr>
            </w:pPr>
            <w:r>
              <w:rPr>
                <w:rFonts w:ascii="Arial" w:hAnsi="Arial" w:eastAsia="Times New Roman" w:cs="Arial"/>
                <w:bCs/>
                <w:kern w:val="0"/>
                <w:sz w:val="20"/>
                <w:szCs w:val="20"/>
                <w:highlight w:val="none"/>
                <w:lang w:eastAsia="es-PE"/>
                <w14:ligatures w14:val="none"/>
              </w:rPr>
              <w:t>ENTREGABLE</w:t>
            </w:r>
          </w:p>
        </w:tc>
        <w:tc>
          <w:tcPr>
            <w:tcW w:w="1978" w:type="dxa"/>
          </w:tcPr>
          <w:p w14:paraId="23B79D6E">
            <w:pPr>
              <w:spacing w:before="240" w:after="200" w:line="276" w:lineRule="auto"/>
              <w:ind w:right="425"/>
              <w:contextualSpacing/>
              <w:jc w:val="center"/>
              <w:rPr>
                <w:rFonts w:ascii="Arial" w:hAnsi="Arial" w:eastAsia="Times New Roman" w:cs="Arial"/>
                <w:bCs/>
                <w:kern w:val="0"/>
                <w:sz w:val="20"/>
                <w:szCs w:val="20"/>
                <w:highlight w:val="none"/>
                <w:lang w:eastAsia="es-PE"/>
                <w14:ligatures w14:val="none"/>
              </w:rPr>
            </w:pPr>
            <w:r>
              <w:rPr>
                <w:rFonts w:ascii="Arial" w:hAnsi="Arial" w:eastAsia="Times New Roman" w:cs="Arial"/>
                <w:bCs/>
                <w:kern w:val="0"/>
                <w:sz w:val="20"/>
                <w:szCs w:val="20"/>
                <w:highlight w:val="none"/>
                <w:lang w:eastAsia="es-PE"/>
                <w14:ligatures w14:val="none"/>
              </w:rPr>
              <w:t>PLAZO</w:t>
            </w:r>
          </w:p>
        </w:tc>
        <w:tc>
          <w:tcPr>
            <w:tcW w:w="4106" w:type="dxa"/>
          </w:tcPr>
          <w:p w14:paraId="561F5116">
            <w:pPr>
              <w:spacing w:before="240" w:after="200" w:line="276" w:lineRule="auto"/>
              <w:ind w:right="425"/>
              <w:contextualSpacing/>
              <w:jc w:val="center"/>
              <w:rPr>
                <w:rFonts w:ascii="Arial" w:hAnsi="Arial" w:eastAsia="Times New Roman" w:cs="Arial"/>
                <w:bCs/>
                <w:kern w:val="0"/>
                <w:sz w:val="20"/>
                <w:szCs w:val="20"/>
                <w:highlight w:val="none"/>
                <w:lang w:eastAsia="es-PE"/>
                <w14:ligatures w14:val="none"/>
              </w:rPr>
            </w:pPr>
            <w:r>
              <w:rPr>
                <w:rFonts w:ascii="Arial" w:hAnsi="Arial" w:eastAsia="Times New Roman" w:cs="Arial"/>
                <w:bCs/>
                <w:kern w:val="0"/>
                <w:sz w:val="20"/>
                <w:szCs w:val="20"/>
                <w:highlight w:val="none"/>
                <w:lang w:eastAsia="es-PE"/>
                <w14:ligatures w14:val="none"/>
              </w:rPr>
              <w:t>DESCRIPCION</w:t>
            </w:r>
          </w:p>
        </w:tc>
      </w:tr>
      <w:tr w14:paraId="5D417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1986" w:type="dxa"/>
            <w:shd w:val="clear" w:color="auto" w:fill="auto"/>
            <w:vAlign w:val="center"/>
          </w:tcPr>
          <w:p w14:paraId="0510A2D8">
            <w:pPr>
              <w:spacing w:after="0" w:line="240" w:lineRule="auto"/>
              <w:jc w:val="center"/>
              <w:rPr>
                <w:rFonts w:ascii="Century Gothic" w:hAnsi="Century Gothic" w:cs="Arial" w:eastAsiaTheme="minorHAnsi"/>
                <w:kern w:val="2"/>
                <w:sz w:val="18"/>
                <w:szCs w:val="18"/>
                <w:lang w:val="es-PE" w:eastAsia="es-PE" w:bidi="ar-SA"/>
                <w14:ligatures w14:val="standardContextual"/>
              </w:rPr>
            </w:pPr>
            <w:r>
              <w:rPr>
                <w:rFonts w:ascii="Century Gothic" w:hAnsi="Century Gothic" w:cs="Arial"/>
                <w:sz w:val="18"/>
                <w:szCs w:val="18"/>
              </w:rPr>
              <w:t>PRIMER ENTREGABLE</w:t>
            </w:r>
          </w:p>
        </w:tc>
        <w:tc>
          <w:tcPr>
            <w:tcW w:w="1978" w:type="dxa"/>
            <w:shd w:val="clear" w:color="auto" w:fill="auto"/>
            <w:vAlign w:val="center"/>
          </w:tcPr>
          <w:p w14:paraId="6A43E87F">
            <w:pPr>
              <w:spacing w:after="0" w:line="240" w:lineRule="auto"/>
              <w:jc w:val="center"/>
              <w:rPr>
                <w:rFonts w:ascii="Century Gothic" w:hAnsi="Century Gothic" w:cs="Arial" w:eastAsiaTheme="minorHAnsi"/>
                <w:kern w:val="2"/>
                <w:sz w:val="18"/>
                <w:szCs w:val="18"/>
                <w:lang w:val="es-PE" w:eastAsia="es-PE" w:bidi="ar-SA"/>
                <w14:ligatures w14:val="standardContextual"/>
              </w:rPr>
            </w:pPr>
            <w:r>
              <w:rPr>
                <w:rFonts w:ascii="Century Gothic" w:hAnsi="Century Gothic" w:cs="Arial"/>
                <w:sz w:val="18"/>
                <w:szCs w:val="18"/>
              </w:rPr>
              <w:t xml:space="preserve">Hasta </w:t>
            </w:r>
            <w:r>
              <w:rPr>
                <w:rFonts w:hint="default" w:ascii="Century Gothic" w:hAnsi="Century Gothic" w:cs="Arial"/>
                <w:sz w:val="18"/>
                <w:szCs w:val="18"/>
                <w:lang w:val="es-ES"/>
              </w:rPr>
              <w:t>venite</w:t>
            </w:r>
            <w:r>
              <w:rPr>
                <w:rFonts w:ascii="Century Gothic" w:hAnsi="Century Gothic" w:cs="Arial"/>
                <w:sz w:val="18"/>
                <w:szCs w:val="18"/>
              </w:rPr>
              <w:t xml:space="preserve"> (</w:t>
            </w:r>
            <w:r>
              <w:rPr>
                <w:rFonts w:hint="default" w:ascii="Century Gothic" w:hAnsi="Century Gothic" w:cs="Arial"/>
                <w:sz w:val="18"/>
                <w:szCs w:val="18"/>
                <w:lang w:val="es-ES"/>
              </w:rPr>
              <w:t>20</w:t>
            </w:r>
            <w:r>
              <w:rPr>
                <w:rFonts w:ascii="Century Gothic" w:hAnsi="Century Gothic" w:cs="Arial"/>
                <w:sz w:val="18"/>
                <w:szCs w:val="18"/>
              </w:rPr>
              <w:t>) días</w:t>
            </w:r>
            <w:r>
              <w:rPr>
                <w:rFonts w:hint="default" w:ascii="Century Gothic" w:hAnsi="Century Gothic" w:cs="Arial"/>
                <w:sz w:val="18"/>
                <w:szCs w:val="18"/>
                <w:lang w:val="es-ES"/>
              </w:rPr>
              <w:t xml:space="preserve"> habiles</w:t>
            </w:r>
            <w:r>
              <w:rPr>
                <w:rFonts w:ascii="Century Gothic" w:hAnsi="Century Gothic" w:cs="Arial"/>
                <w:sz w:val="18"/>
                <w:szCs w:val="18"/>
              </w:rPr>
              <w:t xml:space="preserve"> a partir de la notificación de la Orden de Servicio.</w:t>
            </w:r>
          </w:p>
        </w:tc>
        <w:tc>
          <w:tcPr>
            <w:tcW w:w="4106" w:type="dxa"/>
            <w:shd w:val="clear" w:color="auto" w:fill="auto"/>
            <w:vAlign w:val="top"/>
          </w:tcPr>
          <w:p w14:paraId="10D04642">
            <w:pPr>
              <w:spacing w:after="0" w:line="240" w:lineRule="auto"/>
              <w:rPr>
                <w:rFonts w:ascii="Century Gothic" w:hAnsi="Century Gothic" w:cs="Arial"/>
                <w:bCs/>
                <w:sz w:val="8"/>
                <w:szCs w:val="8"/>
              </w:rPr>
            </w:pPr>
          </w:p>
          <w:p w14:paraId="4CD50C58">
            <w:pPr>
              <w:spacing w:after="0" w:line="240" w:lineRule="auto"/>
              <w:rPr>
                <w:rFonts w:ascii="Century Gothic" w:hAnsi="Century Gothic" w:cs="Arial"/>
                <w:bCs/>
                <w:sz w:val="20"/>
                <w:szCs w:val="20"/>
              </w:rPr>
            </w:pPr>
            <w:r>
              <w:rPr>
                <w:rFonts w:ascii="Century Gothic" w:hAnsi="Century Gothic" w:cs="Arial"/>
                <w:bCs/>
                <w:sz w:val="20"/>
                <w:szCs w:val="20"/>
              </w:rPr>
              <w:t>ESTRUCTURA MINIMA DEL ENTREGABLE:</w:t>
            </w:r>
          </w:p>
          <w:p w14:paraId="416C9045">
            <w:pPr>
              <w:pStyle w:val="29"/>
              <w:numPr>
                <w:ilvl w:val="0"/>
                <w:numId w:val="5"/>
              </w:numPr>
              <w:spacing w:after="0" w:line="240" w:lineRule="auto"/>
              <w:ind w:left="318" w:hanging="318"/>
              <w:rPr>
                <w:rFonts w:ascii="Century Gothic" w:hAnsi="Century Gothic" w:cs="Arial"/>
                <w:bCs/>
                <w:sz w:val="20"/>
                <w:szCs w:val="20"/>
              </w:rPr>
            </w:pPr>
            <w:r>
              <w:rPr>
                <w:rFonts w:ascii="Century Gothic" w:hAnsi="Century Gothic" w:cs="Arial"/>
                <w:bCs/>
                <w:sz w:val="20"/>
                <w:szCs w:val="20"/>
              </w:rPr>
              <w:t>Generalidades:</w:t>
            </w:r>
          </w:p>
          <w:p w14:paraId="4603E5DA">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Antecedentes</w:t>
            </w:r>
          </w:p>
          <w:p w14:paraId="72992094">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Objetivo de la actividad de fiscalización</w:t>
            </w:r>
          </w:p>
          <w:p w14:paraId="116F65BB">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Datos del proyecto</w:t>
            </w:r>
          </w:p>
          <w:p w14:paraId="2BF75346">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Ubicación</w:t>
            </w:r>
          </w:p>
          <w:p w14:paraId="56626D93">
            <w:pPr>
              <w:pStyle w:val="29"/>
              <w:numPr>
                <w:ilvl w:val="0"/>
                <w:numId w:val="5"/>
              </w:numPr>
              <w:spacing w:after="0" w:line="240" w:lineRule="auto"/>
              <w:ind w:left="318" w:hanging="318"/>
              <w:rPr>
                <w:rFonts w:ascii="Century Gothic" w:hAnsi="Century Gothic" w:cs="Arial"/>
                <w:bCs/>
                <w:sz w:val="20"/>
                <w:szCs w:val="20"/>
              </w:rPr>
            </w:pPr>
            <w:r>
              <w:rPr>
                <w:rFonts w:ascii="Century Gothic" w:hAnsi="Century Gothic" w:cs="Arial"/>
                <w:bCs/>
                <w:sz w:val="20"/>
                <w:szCs w:val="20"/>
              </w:rPr>
              <w:t>Desarrollo de la actividad de fiscalización:</w:t>
            </w:r>
          </w:p>
          <w:p w14:paraId="10831E15">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Revisión documentaria administrativa</w:t>
            </w:r>
          </w:p>
          <w:p w14:paraId="6058535E">
            <w:pPr>
              <w:pStyle w:val="29"/>
              <w:numPr>
                <w:ilvl w:val="0"/>
                <w:numId w:val="5"/>
              </w:numPr>
              <w:spacing w:after="0" w:line="240" w:lineRule="auto"/>
              <w:ind w:left="318" w:hanging="318"/>
              <w:rPr>
                <w:rFonts w:ascii="Century Gothic" w:hAnsi="Century Gothic" w:cs="Arial"/>
                <w:bCs/>
                <w:sz w:val="20"/>
                <w:szCs w:val="20"/>
              </w:rPr>
            </w:pPr>
            <w:r>
              <w:rPr>
                <w:rFonts w:ascii="Century Gothic" w:hAnsi="Century Gothic" w:cs="Arial"/>
                <w:bCs/>
                <w:sz w:val="20"/>
                <w:szCs w:val="20"/>
              </w:rPr>
              <w:t>Seguimiento de la documentación administrativa:</w:t>
            </w:r>
          </w:p>
          <w:p w14:paraId="192CCE17">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Documentación recopilada, ordenada y remitida.</w:t>
            </w:r>
          </w:p>
          <w:p w14:paraId="4DA707A1">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 xml:space="preserve">Coordinaciones efectuadas para su remisión y control. </w:t>
            </w:r>
          </w:p>
          <w:p w14:paraId="0F682B03">
            <w:pPr>
              <w:pStyle w:val="29"/>
              <w:numPr>
                <w:ilvl w:val="0"/>
                <w:numId w:val="5"/>
              </w:numPr>
              <w:spacing w:after="0" w:line="240" w:lineRule="auto"/>
              <w:ind w:left="318" w:leftChars="0" w:hanging="318" w:firstLineChars="0"/>
              <w:rPr>
                <w:rFonts w:ascii="Century Gothic" w:hAnsi="Century Gothic" w:cs="Arial" w:eastAsiaTheme="minorHAnsi"/>
                <w:bCs/>
                <w:kern w:val="2"/>
                <w:sz w:val="20"/>
                <w:szCs w:val="20"/>
                <w:lang w:val="es-PE" w:eastAsia="es-PE" w:bidi="ar-SA"/>
                <w14:ligatures w14:val="standardContextual"/>
              </w:rPr>
            </w:pPr>
            <w:r>
              <w:rPr>
                <w:rFonts w:ascii="Century Gothic" w:hAnsi="Century Gothic" w:cs="Arial"/>
                <w:bCs/>
                <w:sz w:val="20"/>
                <w:szCs w:val="20"/>
              </w:rPr>
              <w:t>Conclusiones preliminares.</w:t>
            </w:r>
          </w:p>
        </w:tc>
      </w:tr>
      <w:tr w14:paraId="0F8C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0" w:type="auto"/>
            <w:shd w:val="clear" w:color="auto" w:fill="auto"/>
            <w:vAlign w:val="center"/>
          </w:tcPr>
          <w:p w14:paraId="459EAE95">
            <w:pPr>
              <w:spacing w:after="0" w:line="240" w:lineRule="auto"/>
              <w:jc w:val="center"/>
              <w:rPr>
                <w:rFonts w:ascii="Century Gothic" w:hAnsi="Century Gothic" w:cs="Arial" w:eastAsiaTheme="minorHAnsi"/>
                <w:kern w:val="2"/>
                <w:sz w:val="18"/>
                <w:szCs w:val="18"/>
                <w:lang w:val="es-PE" w:eastAsia="es-PE" w:bidi="ar-SA"/>
                <w14:ligatures w14:val="standardContextual"/>
              </w:rPr>
            </w:pPr>
            <w:r>
              <w:rPr>
                <w:rFonts w:ascii="Century Gothic" w:hAnsi="Century Gothic" w:cs="Arial"/>
                <w:sz w:val="18"/>
                <w:szCs w:val="18"/>
              </w:rPr>
              <w:t>SEGUNDO ENTREGABLE</w:t>
            </w:r>
          </w:p>
        </w:tc>
        <w:tc>
          <w:tcPr>
            <w:tcW w:w="0" w:type="auto"/>
            <w:shd w:val="clear" w:color="auto" w:fill="auto"/>
            <w:vAlign w:val="center"/>
          </w:tcPr>
          <w:p w14:paraId="655B227D">
            <w:pPr>
              <w:spacing w:after="0" w:line="240" w:lineRule="auto"/>
              <w:jc w:val="center"/>
              <w:rPr>
                <w:rFonts w:ascii="Century Gothic" w:hAnsi="Century Gothic" w:cs="Arial" w:eastAsiaTheme="minorHAnsi"/>
                <w:kern w:val="2"/>
                <w:sz w:val="18"/>
                <w:szCs w:val="18"/>
                <w:lang w:val="es-PE" w:eastAsia="es-PE" w:bidi="ar-SA"/>
                <w14:ligatures w14:val="standardContextual"/>
              </w:rPr>
            </w:pPr>
            <w:r>
              <w:rPr>
                <w:rFonts w:ascii="Century Gothic" w:hAnsi="Century Gothic" w:cs="Arial"/>
                <w:sz w:val="18"/>
                <w:szCs w:val="18"/>
              </w:rPr>
              <w:t xml:space="preserve">Hasta </w:t>
            </w:r>
            <w:r>
              <w:rPr>
                <w:rFonts w:hint="default" w:ascii="Century Gothic" w:hAnsi="Century Gothic" w:cs="Arial"/>
                <w:sz w:val="18"/>
                <w:szCs w:val="18"/>
                <w:lang w:val="es-ES"/>
              </w:rPr>
              <w:t>cincuenta</w:t>
            </w:r>
            <w:r>
              <w:rPr>
                <w:rFonts w:ascii="Century Gothic" w:hAnsi="Century Gothic" w:cs="Arial"/>
                <w:sz w:val="18"/>
                <w:szCs w:val="18"/>
              </w:rPr>
              <w:t xml:space="preserve"> (</w:t>
            </w:r>
            <w:r>
              <w:rPr>
                <w:rFonts w:hint="default" w:ascii="Century Gothic" w:hAnsi="Century Gothic" w:cs="Arial"/>
                <w:sz w:val="18"/>
                <w:szCs w:val="18"/>
                <w:lang w:val="es-ES"/>
              </w:rPr>
              <w:t>50</w:t>
            </w:r>
            <w:r>
              <w:rPr>
                <w:rFonts w:ascii="Century Gothic" w:hAnsi="Century Gothic" w:cs="Arial"/>
                <w:sz w:val="18"/>
                <w:szCs w:val="18"/>
              </w:rPr>
              <w:t xml:space="preserve">) días </w:t>
            </w:r>
            <w:r>
              <w:rPr>
                <w:rFonts w:hint="default" w:ascii="Century Gothic" w:hAnsi="Century Gothic" w:cs="Arial"/>
                <w:sz w:val="18"/>
                <w:szCs w:val="18"/>
                <w:lang w:val="es-ES"/>
              </w:rPr>
              <w:t>habiles</w:t>
            </w:r>
            <w:r>
              <w:rPr>
                <w:rFonts w:ascii="Century Gothic" w:hAnsi="Century Gothic" w:cs="Arial"/>
                <w:sz w:val="18"/>
                <w:szCs w:val="18"/>
              </w:rPr>
              <w:t xml:space="preserve"> a partir de la notificación de la Orden de Servicio.</w:t>
            </w:r>
          </w:p>
        </w:tc>
        <w:tc>
          <w:tcPr>
            <w:tcW w:w="0" w:type="auto"/>
            <w:shd w:val="clear" w:color="auto" w:fill="auto"/>
            <w:vAlign w:val="top"/>
          </w:tcPr>
          <w:p w14:paraId="72650A3B">
            <w:pPr>
              <w:spacing w:after="0" w:line="240" w:lineRule="auto"/>
              <w:jc w:val="both"/>
              <w:rPr>
                <w:rFonts w:ascii="Century Gothic" w:hAnsi="Century Gothic" w:cs="Arial"/>
                <w:sz w:val="8"/>
                <w:szCs w:val="8"/>
              </w:rPr>
            </w:pPr>
          </w:p>
          <w:p w14:paraId="3EBE0642">
            <w:pPr>
              <w:spacing w:after="0" w:line="240" w:lineRule="auto"/>
              <w:jc w:val="both"/>
              <w:rPr>
                <w:rFonts w:ascii="Century Gothic" w:hAnsi="Century Gothic" w:cs="Arial"/>
                <w:sz w:val="20"/>
                <w:szCs w:val="20"/>
              </w:rPr>
            </w:pPr>
            <w:r>
              <w:rPr>
                <w:rFonts w:ascii="Century Gothic" w:hAnsi="Century Gothic" w:cs="Arial"/>
                <w:sz w:val="20"/>
                <w:szCs w:val="20"/>
              </w:rPr>
              <w:t xml:space="preserve">Consignar el detalle de la documentación recopilada, ordenada y remitida en formato físico y/o digital, al consejero responsable de la actividad de fiscalización. </w:t>
            </w:r>
          </w:p>
          <w:p w14:paraId="34D4B3C2">
            <w:pPr>
              <w:spacing w:after="0" w:line="240" w:lineRule="auto"/>
              <w:jc w:val="both"/>
              <w:rPr>
                <w:rFonts w:ascii="Century Gothic" w:hAnsi="Century Gothic" w:cs="Arial"/>
                <w:b/>
                <w:sz w:val="8"/>
                <w:szCs w:val="8"/>
              </w:rPr>
            </w:pPr>
          </w:p>
          <w:p w14:paraId="400E79A8">
            <w:pPr>
              <w:spacing w:after="0" w:line="240" w:lineRule="auto"/>
              <w:jc w:val="both"/>
              <w:rPr>
                <w:rFonts w:ascii="Century Gothic" w:hAnsi="Century Gothic" w:cs="Arial"/>
                <w:bCs/>
                <w:sz w:val="20"/>
                <w:szCs w:val="20"/>
              </w:rPr>
            </w:pPr>
            <w:r>
              <w:rPr>
                <w:rFonts w:ascii="Century Gothic" w:hAnsi="Century Gothic" w:cs="Arial"/>
                <w:bCs/>
                <w:sz w:val="20"/>
                <w:szCs w:val="20"/>
              </w:rPr>
              <w:t>Como parte del segundo entregable, se adjuntará el borrador del informe final de fiscalización, elaborado a partir de la recopilación y sistematización de los aportes de los profesionales intervinientes, el cual servirá de insumo para el documento final que emita el consejero responsable de la actividad de fiscalización.</w:t>
            </w:r>
          </w:p>
          <w:p w14:paraId="343AB935">
            <w:pPr>
              <w:spacing w:after="0" w:line="240" w:lineRule="auto"/>
              <w:rPr>
                <w:rFonts w:ascii="Century Gothic" w:hAnsi="Century Gothic" w:cs="Arial"/>
                <w:bCs/>
                <w:sz w:val="8"/>
                <w:szCs w:val="8"/>
              </w:rPr>
            </w:pPr>
          </w:p>
          <w:p w14:paraId="278E1FF0">
            <w:pPr>
              <w:pStyle w:val="29"/>
              <w:numPr>
                <w:ilvl w:val="0"/>
                <w:numId w:val="7"/>
              </w:numPr>
              <w:spacing w:after="0" w:line="240" w:lineRule="auto"/>
              <w:ind w:left="318" w:hanging="141"/>
              <w:rPr>
                <w:rFonts w:ascii="Century Gothic" w:hAnsi="Century Gothic" w:cs="Arial"/>
                <w:bCs/>
                <w:sz w:val="20"/>
                <w:szCs w:val="20"/>
              </w:rPr>
            </w:pPr>
            <w:r>
              <w:rPr>
                <w:rFonts w:ascii="Century Gothic" w:hAnsi="Century Gothic" w:cs="Arial"/>
                <w:bCs/>
                <w:sz w:val="20"/>
                <w:szCs w:val="20"/>
              </w:rPr>
              <w:t>Generalidades:</w:t>
            </w:r>
          </w:p>
          <w:p w14:paraId="68BE0648">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Antecedentes</w:t>
            </w:r>
          </w:p>
          <w:p w14:paraId="6F3E32FA">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Objetivo de la actividad de fiscalización</w:t>
            </w:r>
          </w:p>
          <w:p w14:paraId="204CD37F">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Datos del proyecto</w:t>
            </w:r>
          </w:p>
          <w:p w14:paraId="2BB1700D">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Ubicación</w:t>
            </w:r>
          </w:p>
          <w:p w14:paraId="4BEC1114">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Alcance del informe</w:t>
            </w:r>
          </w:p>
          <w:p w14:paraId="66AC9B18">
            <w:pPr>
              <w:pStyle w:val="29"/>
              <w:numPr>
                <w:ilvl w:val="0"/>
                <w:numId w:val="7"/>
              </w:numPr>
              <w:spacing w:after="0" w:line="240" w:lineRule="auto"/>
              <w:ind w:left="318" w:hanging="141"/>
              <w:rPr>
                <w:rFonts w:ascii="Century Gothic" w:hAnsi="Century Gothic" w:cs="Arial"/>
                <w:bCs/>
                <w:sz w:val="20"/>
                <w:szCs w:val="20"/>
              </w:rPr>
            </w:pPr>
            <w:r>
              <w:rPr>
                <w:rFonts w:ascii="Century Gothic" w:hAnsi="Century Gothic" w:cs="Arial"/>
                <w:bCs/>
                <w:sz w:val="20"/>
                <w:szCs w:val="20"/>
              </w:rPr>
              <w:t>Desarrollo de la actividad de fiscalización:</w:t>
            </w:r>
          </w:p>
          <w:p w14:paraId="5D3C9653">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Resultados finales de la visita de fiscalización</w:t>
            </w:r>
          </w:p>
          <w:p w14:paraId="09D21033">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Revisión documentaria administrativa</w:t>
            </w:r>
          </w:p>
          <w:p w14:paraId="53231002">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Acciones de seguimiento efectuadas.</w:t>
            </w:r>
          </w:p>
          <w:p w14:paraId="35686AB7">
            <w:pPr>
              <w:pStyle w:val="29"/>
              <w:numPr>
                <w:ilvl w:val="0"/>
                <w:numId w:val="7"/>
              </w:numPr>
              <w:spacing w:after="0" w:line="240" w:lineRule="auto"/>
              <w:ind w:left="318" w:hanging="141"/>
              <w:rPr>
                <w:rFonts w:ascii="Century Gothic" w:hAnsi="Century Gothic" w:cs="Arial"/>
                <w:bCs/>
                <w:sz w:val="20"/>
                <w:szCs w:val="20"/>
              </w:rPr>
            </w:pPr>
            <w:r>
              <w:rPr>
                <w:rFonts w:ascii="Century Gothic" w:hAnsi="Century Gothic" w:cs="Arial"/>
                <w:bCs/>
                <w:sz w:val="20"/>
                <w:szCs w:val="20"/>
              </w:rPr>
              <w:t>Seguimiento de la documentación administrativa:</w:t>
            </w:r>
          </w:p>
          <w:p w14:paraId="05130981">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Documentación recopilada, ordenada y remitida.</w:t>
            </w:r>
          </w:p>
          <w:p w14:paraId="6DF47192">
            <w:pPr>
              <w:pStyle w:val="29"/>
              <w:numPr>
                <w:ilvl w:val="0"/>
                <w:numId w:val="6"/>
              </w:numPr>
              <w:spacing w:after="0" w:line="240" w:lineRule="auto"/>
              <w:rPr>
                <w:rFonts w:ascii="Century Gothic" w:hAnsi="Century Gothic" w:cs="Arial"/>
                <w:bCs/>
                <w:sz w:val="20"/>
                <w:szCs w:val="20"/>
              </w:rPr>
            </w:pPr>
            <w:r>
              <w:rPr>
                <w:rFonts w:ascii="Century Gothic" w:hAnsi="Century Gothic" w:cs="Arial"/>
                <w:bCs/>
                <w:sz w:val="20"/>
                <w:szCs w:val="20"/>
              </w:rPr>
              <w:t>Situación del registro y control documentario.</w:t>
            </w:r>
          </w:p>
          <w:p w14:paraId="71F8700D">
            <w:pPr>
              <w:pStyle w:val="29"/>
              <w:numPr>
                <w:ilvl w:val="0"/>
                <w:numId w:val="7"/>
              </w:numPr>
              <w:spacing w:after="0" w:line="240" w:lineRule="auto"/>
              <w:ind w:left="318" w:hanging="141"/>
              <w:jc w:val="both"/>
              <w:rPr>
                <w:rFonts w:ascii="Century Gothic" w:hAnsi="Century Gothic" w:cs="Arial"/>
                <w:bCs/>
                <w:sz w:val="20"/>
                <w:szCs w:val="20"/>
              </w:rPr>
            </w:pPr>
            <w:r>
              <w:rPr>
                <w:rFonts w:ascii="Century Gothic" w:hAnsi="Century Gothic" w:cs="Arial"/>
                <w:bCs/>
                <w:sz w:val="20"/>
                <w:szCs w:val="20"/>
              </w:rPr>
              <w:t>Conclusiones finales.</w:t>
            </w:r>
          </w:p>
          <w:p w14:paraId="144EE507">
            <w:pPr>
              <w:pStyle w:val="29"/>
              <w:numPr>
                <w:ilvl w:val="0"/>
                <w:numId w:val="7"/>
              </w:numPr>
              <w:spacing w:after="0" w:line="240" w:lineRule="auto"/>
              <w:ind w:left="318" w:leftChars="0" w:hanging="141" w:firstLineChars="0"/>
              <w:jc w:val="both"/>
              <w:rPr>
                <w:rFonts w:ascii="Century Gothic" w:hAnsi="Century Gothic" w:cs="Arial" w:eastAsiaTheme="minorHAnsi"/>
                <w:bCs/>
                <w:kern w:val="2"/>
                <w:sz w:val="20"/>
                <w:szCs w:val="20"/>
                <w:lang w:val="es-PE" w:eastAsia="es-PE" w:bidi="ar-SA"/>
                <w14:ligatures w14:val="standardContextual"/>
              </w:rPr>
            </w:pPr>
            <w:r>
              <w:rPr>
                <w:rFonts w:ascii="Century Gothic" w:hAnsi="Century Gothic" w:cs="Arial"/>
                <w:bCs/>
                <w:sz w:val="20"/>
                <w:szCs w:val="20"/>
              </w:rPr>
              <w:t>Anexos.</w:t>
            </w:r>
          </w:p>
        </w:tc>
      </w:tr>
    </w:tbl>
    <w:p w14:paraId="1F90A3E0">
      <w:pPr>
        <w:spacing w:before="240" w:after="200" w:line="276" w:lineRule="auto"/>
        <w:ind w:left="1134" w:right="425"/>
        <w:contextualSpacing/>
        <w:jc w:val="both"/>
        <w:rPr>
          <w:rFonts w:ascii="Arial" w:hAnsi="Arial" w:eastAsia="Times New Roman" w:cs="Arial"/>
          <w:bCs/>
          <w:kern w:val="0"/>
          <w:sz w:val="20"/>
          <w:szCs w:val="20"/>
          <w:highlight w:val="none"/>
          <w:lang w:eastAsia="es-PE"/>
          <w14:ligatures w14:val="none"/>
        </w:rPr>
      </w:pPr>
    </w:p>
    <w:p w14:paraId="77D1C4DB">
      <w:pPr>
        <w:spacing w:before="240" w:after="200" w:line="276" w:lineRule="auto"/>
        <w:ind w:left="1134" w:right="425"/>
        <w:contextualSpacing/>
        <w:jc w:val="both"/>
        <w:rPr>
          <w:rFonts w:ascii="Arial" w:hAnsi="Arial" w:eastAsia="Times New Roman" w:cs="Arial"/>
          <w:bCs/>
          <w:kern w:val="0"/>
          <w:sz w:val="20"/>
          <w:szCs w:val="20"/>
          <w:highlight w:val="none"/>
          <w:lang w:eastAsia="es-PE"/>
          <w14:ligatures w14:val="none"/>
        </w:rPr>
      </w:pPr>
    </w:p>
    <w:p w14:paraId="2F99B389">
      <w:pPr>
        <w:spacing w:before="240" w:after="200" w:line="276" w:lineRule="auto"/>
        <w:ind w:left="1134" w:right="425"/>
        <w:contextualSpacing/>
        <w:jc w:val="both"/>
        <w:rPr>
          <w:rFonts w:ascii="Arial" w:hAnsi="Arial" w:eastAsia="Times New Roman" w:cs="Arial"/>
          <w:bCs/>
          <w:kern w:val="0"/>
          <w:sz w:val="20"/>
          <w:szCs w:val="20"/>
          <w:highlight w:val="none"/>
          <w:lang w:eastAsia="es-PE"/>
          <w14:ligatures w14:val="none"/>
        </w:rPr>
      </w:pPr>
    </w:p>
    <w:p w14:paraId="7CAC7669">
      <w:pPr>
        <w:spacing w:before="240" w:after="200" w:line="276" w:lineRule="auto"/>
        <w:ind w:left="1134" w:right="425"/>
        <w:contextualSpacing/>
        <w:jc w:val="both"/>
        <w:rPr>
          <w:rFonts w:ascii="Arial" w:hAnsi="Arial" w:eastAsia="Times New Roman" w:cs="Arial"/>
          <w:bCs/>
          <w:kern w:val="0"/>
          <w:sz w:val="20"/>
          <w:szCs w:val="20"/>
          <w:highlight w:val="none"/>
          <w:lang w:eastAsia="es-PE"/>
          <w14:ligatures w14:val="none"/>
        </w:rPr>
      </w:pPr>
    </w:p>
    <w:p w14:paraId="7B89ED7B">
      <w:pPr>
        <w:numPr>
          <w:ilvl w:val="0"/>
          <w:numId w:val="1"/>
        </w:numPr>
        <w:spacing w:before="240" w:after="200" w:line="360" w:lineRule="auto"/>
        <w:ind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 xml:space="preserve">LUGAR DE PRESENTACION DE LOS ENTREGABLES </w:t>
      </w:r>
    </w:p>
    <w:p w14:paraId="75687680">
      <w:pPr>
        <w:spacing w:before="240" w:after="200" w:line="276" w:lineRule="auto"/>
        <w:ind w:left="113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El entregable debe ser presentado de manera física y virtual a través de la secretaria del Consejo Regional de Ucayali. El horario para la recepción de documentos será de lunes a viernes en el horario de oficina de 08:00 horas hasta las 13:00 horas y de 14:00 horas hasta las 17: 00 horas. En el Jr. Apurímac N° 460 – Pucallpa (ex petitas)</w:t>
      </w:r>
    </w:p>
    <w:p w14:paraId="4396FF37">
      <w:pPr>
        <w:spacing w:before="240" w:after="200" w:line="360" w:lineRule="auto"/>
        <w:ind w:left="1134" w:right="425"/>
        <w:contextualSpacing/>
        <w:jc w:val="both"/>
        <w:rPr>
          <w:rFonts w:ascii="Arial" w:hAnsi="Arial" w:eastAsia="Times New Roman" w:cs="Arial"/>
          <w:bCs/>
          <w:kern w:val="0"/>
          <w:sz w:val="20"/>
          <w:szCs w:val="20"/>
          <w:highlight w:val="none"/>
          <w:lang w:val="es-ES" w:eastAsia="es-PE"/>
          <w14:ligatures w14:val="none"/>
        </w:rPr>
      </w:pPr>
    </w:p>
    <w:p w14:paraId="12C9BE6B">
      <w:pPr>
        <w:numPr>
          <w:ilvl w:val="0"/>
          <w:numId w:val="1"/>
        </w:numPr>
        <w:spacing w:before="240" w:after="200" w:line="360" w:lineRule="auto"/>
        <w:ind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CONFORMIDAD DEL SERVICIO</w:t>
      </w:r>
    </w:p>
    <w:p w14:paraId="7A732829">
      <w:pPr>
        <w:pStyle w:val="29"/>
        <w:numPr>
          <w:ilvl w:val="1"/>
          <w:numId w:val="8"/>
        </w:numPr>
        <w:tabs>
          <w:tab w:val="left" w:pos="6850"/>
        </w:tabs>
        <w:spacing w:line="240" w:lineRule="auto"/>
        <w:ind w:left="1276" w:hanging="567"/>
        <w:jc w:val="both"/>
        <w:rPr>
          <w:rFonts w:ascii="Arial Nova Cond" w:hAnsi="Arial Nova Cond"/>
          <w:color w:val="000000" w:themeColor="text1"/>
          <w:sz w:val="20"/>
          <w:szCs w:val="20"/>
          <w14:textFill>
            <w14:solidFill>
              <w14:schemeClr w14:val="tx1"/>
            </w14:solidFill>
          </w14:textFill>
        </w:rPr>
      </w:pPr>
      <w:r>
        <w:rPr>
          <w:rFonts w:hint="default" w:ascii="Arial" w:hAnsi="Arial" w:cs="Arial"/>
          <w:color w:val="000000" w:themeColor="text1"/>
          <w:sz w:val="20"/>
          <w:szCs w:val="20"/>
          <w14:textFill>
            <w14:solidFill>
              <w14:schemeClr w14:val="tx1"/>
            </w14:solidFill>
          </w14:textFill>
        </w:rPr>
        <w:t xml:space="preserve">Una vez recibida la validación técnica del informe final por parte del Consejero responsable; el Secretariado del Consejo Regional de Ucayali verificará el cumplimiento integral de las condiciones contractuales, la correcta presentación formal del entregable </w:t>
      </w:r>
      <w:r>
        <w:rPr>
          <w:rFonts w:hint="default" w:ascii="Arial" w:hAnsi="Arial" w:cs="Arial"/>
          <w:b/>
          <w:bCs/>
          <w:color w:val="000000" w:themeColor="text1"/>
          <w:sz w:val="20"/>
          <w:szCs w:val="20"/>
          <w14:textFill>
            <w14:solidFill>
              <w14:schemeClr w14:val="tx1"/>
            </w14:solidFill>
          </w14:textFill>
        </w:rPr>
        <w:t>(físico y digital)</w:t>
      </w:r>
      <w:r>
        <w:rPr>
          <w:rFonts w:hint="default" w:ascii="Arial" w:hAnsi="Arial" w:cs="Arial"/>
          <w:color w:val="000000" w:themeColor="text1"/>
          <w:sz w:val="20"/>
          <w:szCs w:val="20"/>
          <w14:textFill>
            <w14:solidFill>
              <w14:schemeClr w14:val="tx1"/>
            </w14:solidFill>
          </w14:textFill>
        </w:rPr>
        <w:t xml:space="preserve"> y la documentación de pago correspondiente (Recibo por Honorarios).</w:t>
      </w:r>
      <w:r>
        <w:rPr>
          <w:rFonts w:ascii="Arial Nova Cond" w:hAnsi="Arial Nova Cond"/>
          <w:color w:val="000000" w:themeColor="text1"/>
          <w:sz w:val="20"/>
          <w:szCs w:val="20"/>
          <w14:textFill>
            <w14:solidFill>
              <w14:schemeClr w14:val="tx1"/>
            </w14:solidFill>
          </w14:textFill>
        </w:rPr>
        <w:t xml:space="preserve"> </w:t>
      </w:r>
    </w:p>
    <w:p w14:paraId="2F072083">
      <w:pPr>
        <w:spacing w:before="240" w:after="200" w:line="360" w:lineRule="auto"/>
        <w:ind w:left="1134" w:right="425"/>
        <w:contextualSpacing/>
        <w:jc w:val="both"/>
        <w:rPr>
          <w:rFonts w:ascii="Arial" w:hAnsi="Arial" w:eastAsia="Times New Roman" w:cs="Arial"/>
          <w:bCs/>
          <w:kern w:val="0"/>
          <w:sz w:val="20"/>
          <w:szCs w:val="20"/>
          <w:highlight w:val="none"/>
          <w:lang w:val="es-ES" w:eastAsia="es-PE"/>
          <w14:ligatures w14:val="none"/>
        </w:rPr>
      </w:pPr>
    </w:p>
    <w:p w14:paraId="3F76FB6F">
      <w:pPr>
        <w:numPr>
          <w:ilvl w:val="0"/>
          <w:numId w:val="1"/>
        </w:numPr>
        <w:spacing w:after="200" w:line="360"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 xml:space="preserve">FORMA DE PAGO: </w:t>
      </w:r>
    </w:p>
    <w:p w14:paraId="4738ACEE">
      <w:pPr>
        <w:spacing w:after="200" w:line="240" w:lineRule="auto"/>
        <w:ind w:left="720" w:right="425"/>
        <w:contextualSpacing/>
        <w:jc w:val="both"/>
        <w:rPr>
          <w:rFonts w:hint="default" w:ascii="Arial" w:hAnsi="Arial" w:eastAsia="Times New Roman" w:cs="Arial"/>
          <w:kern w:val="0"/>
          <w:sz w:val="20"/>
          <w:szCs w:val="20"/>
          <w:highlight w:val="none"/>
          <w:lang w:val="es-ES" w:eastAsia="es-PE"/>
          <w14:ligatures w14:val="none"/>
        </w:rPr>
      </w:pPr>
      <w:r>
        <w:rPr>
          <w:rFonts w:hint="default" w:ascii="Arial" w:hAnsi="Arial" w:eastAsia="Times New Roman" w:cs="Arial"/>
          <w:kern w:val="0"/>
          <w:sz w:val="20"/>
          <w:szCs w:val="20"/>
          <w:highlight w:val="none"/>
          <w:lang w:val="es-ES" w:eastAsia="es-PE"/>
          <w14:ligatures w14:val="none"/>
        </w:rPr>
        <w:t xml:space="preserve">Primer entregable equivalente al 50 </w:t>
      </w:r>
      <w:r>
        <w:rPr>
          <w:rFonts w:ascii="Arial" w:hAnsi="Arial" w:eastAsia="Times New Roman" w:cs="Arial"/>
          <w:kern w:val="0"/>
          <w:sz w:val="20"/>
          <w:szCs w:val="20"/>
          <w:highlight w:val="none"/>
          <w:lang w:eastAsia="es-PE"/>
          <w14:ligatures w14:val="none"/>
        </w:rPr>
        <w:t xml:space="preserve">% </w:t>
      </w:r>
      <w:r>
        <w:rPr>
          <w:rFonts w:hint="default" w:ascii="Arial" w:hAnsi="Arial" w:eastAsia="Times New Roman" w:cs="Arial"/>
          <w:kern w:val="0"/>
          <w:sz w:val="20"/>
          <w:szCs w:val="20"/>
          <w:highlight w:val="none"/>
          <w:lang w:val="es-ES" w:eastAsia="es-PE"/>
          <w14:ligatures w14:val="none"/>
        </w:rPr>
        <w:t xml:space="preserve"> </w:t>
      </w:r>
    </w:p>
    <w:p w14:paraId="50494F2E">
      <w:pPr>
        <w:spacing w:after="200" w:line="240" w:lineRule="auto"/>
        <w:ind w:left="720" w:right="425"/>
        <w:contextualSpacing/>
        <w:jc w:val="both"/>
        <w:rPr>
          <w:rFonts w:ascii="Arial" w:hAnsi="Arial" w:eastAsia="Times New Roman" w:cs="Arial"/>
          <w:kern w:val="0"/>
          <w:sz w:val="20"/>
          <w:szCs w:val="20"/>
          <w:highlight w:val="none"/>
          <w:lang w:eastAsia="es-PE"/>
          <w14:ligatures w14:val="none"/>
        </w:rPr>
      </w:pPr>
      <w:r>
        <w:rPr>
          <w:rFonts w:hint="default" w:ascii="Arial" w:hAnsi="Arial" w:eastAsia="Times New Roman" w:cs="Arial"/>
          <w:kern w:val="0"/>
          <w:sz w:val="20"/>
          <w:szCs w:val="20"/>
          <w:highlight w:val="none"/>
          <w:lang w:val="es-ES" w:eastAsia="es-PE"/>
          <w14:ligatures w14:val="none"/>
        </w:rPr>
        <w:t xml:space="preserve">Segundo Entregable al 50 </w:t>
      </w:r>
      <w:r>
        <w:rPr>
          <w:rFonts w:ascii="Arial" w:hAnsi="Arial" w:eastAsia="Times New Roman" w:cs="Arial"/>
          <w:kern w:val="0"/>
          <w:sz w:val="20"/>
          <w:szCs w:val="20"/>
          <w:highlight w:val="none"/>
          <w:lang w:eastAsia="es-PE"/>
          <w14:ligatures w14:val="none"/>
        </w:rPr>
        <w:t xml:space="preserve">% </w:t>
      </w:r>
    </w:p>
    <w:p w14:paraId="561E9EAD">
      <w:pPr>
        <w:spacing w:after="200" w:line="240" w:lineRule="auto"/>
        <w:ind w:left="720" w:right="425"/>
        <w:contextualSpacing/>
        <w:jc w:val="both"/>
        <w:rPr>
          <w:rFonts w:hint="default" w:ascii="Arial" w:hAnsi="Arial" w:eastAsia="Times New Roman" w:cs="Arial"/>
          <w:kern w:val="0"/>
          <w:sz w:val="20"/>
          <w:szCs w:val="20"/>
          <w:highlight w:val="none"/>
          <w:lang w:val="es-ES" w:eastAsia="es-PE"/>
          <w14:ligatures w14:val="none"/>
        </w:rPr>
      </w:pPr>
      <w:r>
        <w:rPr>
          <w:rFonts w:hint="default" w:ascii="Arial" w:hAnsi="Arial" w:eastAsia="Times New Roman" w:cs="Arial"/>
          <w:kern w:val="0"/>
          <w:sz w:val="20"/>
          <w:szCs w:val="20"/>
          <w:highlight w:val="none"/>
          <w:lang w:val="es-ES" w:eastAsia="es-PE"/>
          <w14:ligatures w14:val="none"/>
        </w:rPr>
        <w:t>Ñ</w:t>
      </w:r>
    </w:p>
    <w:p w14:paraId="21B52324">
      <w:pPr>
        <w:spacing w:after="200" w:line="240" w:lineRule="auto"/>
        <w:ind w:left="720" w:right="425"/>
        <w:contextualSpacing/>
        <w:jc w:val="both"/>
        <w:rPr>
          <w:rFonts w:hint="default" w:ascii="Arial" w:hAnsi="Arial" w:eastAsia="Times New Roman" w:cs="Arial"/>
          <w:kern w:val="0"/>
          <w:sz w:val="20"/>
          <w:szCs w:val="20"/>
          <w:highlight w:val="none"/>
          <w:lang w:val="es-ES" w:eastAsia="es-PE"/>
          <w14:ligatures w14:val="none"/>
        </w:rPr>
      </w:pPr>
    </w:p>
    <w:p w14:paraId="644EEE2A">
      <w:pPr>
        <w:spacing w:after="200" w:line="276" w:lineRule="auto"/>
        <w:ind w:left="284" w:right="425"/>
        <w:contextualSpacing/>
        <w:jc w:val="both"/>
        <w:rPr>
          <w:rFonts w:ascii="Arial" w:hAnsi="Arial" w:eastAsia="Times New Roman" w:cs="Arial"/>
          <w:i/>
          <w:iCs/>
          <w:kern w:val="0"/>
          <w:sz w:val="20"/>
          <w:szCs w:val="20"/>
          <w:highlight w:val="none"/>
          <w:lang w:val="es-ES" w:eastAsia="es-PE"/>
          <w14:ligatures w14:val="none"/>
        </w:rPr>
      </w:pPr>
      <w:r>
        <w:rPr>
          <w:rFonts w:ascii="Arial" w:hAnsi="Arial" w:eastAsia="Times New Roman" w:cs="Arial"/>
          <w:kern w:val="0"/>
          <w:sz w:val="20"/>
          <w:szCs w:val="20"/>
          <w:highlight w:val="none"/>
          <w:lang w:eastAsia="es-PE"/>
          <w14:ligatures w14:val="none"/>
        </w:rPr>
        <w:t xml:space="preserve">La entidad cumplirá con pagar por los servicios efectivamente ejecutados por parte del Locador de Servicio que brindará soporte técnico legal al proyecto denominado: </w:t>
      </w:r>
      <w:r>
        <w:rPr>
          <w:rFonts w:hint="default" w:ascii="Arial" w:hAnsi="Arial" w:cs="Arial"/>
          <w:b/>
          <w:bCs/>
          <w:sz w:val="22"/>
          <w:szCs w:val="22"/>
          <w:highlight w:val="none"/>
          <w:lang w:val="es-ES"/>
        </w:rPr>
        <w:t>”MEJORAMIENTO DEL CAMINO VECINAL PREVISTO - GARCILAZO DE LA VEGA - SANTA ANA - DISTRITO DE PADRE ABAD - PROVINCIA DE PADRE ABAD - REGION UCAYALI</w:t>
      </w:r>
      <w:r>
        <w:rPr>
          <w:rFonts w:hint="default" w:ascii="Arial" w:hAnsi="Arial" w:cs="Arial"/>
          <w:b/>
          <w:bCs/>
          <w:color w:val="000000" w:themeColor="text1"/>
          <w:sz w:val="22"/>
          <w:szCs w:val="22"/>
          <w:highlight w:val="none"/>
          <w:shd w:val="clear" w:color="auto" w:fill="FFFFFF" w:themeFill="background1"/>
          <w:lang w:val="es-ES"/>
          <w14:textFill>
            <w14:solidFill>
              <w14:schemeClr w14:val="tx1"/>
            </w14:solidFill>
          </w14:textFill>
        </w:rPr>
        <w:t xml:space="preserve">”, </w:t>
      </w:r>
      <w:r>
        <w:rPr>
          <w:rFonts w:ascii="Arial" w:hAnsi="Arial" w:cs="Arial"/>
          <w:bCs/>
          <w:highlight w:val="none"/>
        </w:rPr>
        <w:t xml:space="preserve">con CUI N° </w:t>
      </w:r>
      <w:r>
        <w:rPr>
          <w:rFonts w:ascii="Arial" w:hAnsi="Arial" w:cs="Arial"/>
          <w:b/>
          <w:bCs/>
          <w:i/>
          <w:iCs/>
          <w:sz w:val="24"/>
          <w:highlight w:val="none"/>
        </w:rPr>
        <w:t>2</w:t>
      </w:r>
      <w:r>
        <w:rPr>
          <w:rFonts w:hint="default" w:ascii="Arial" w:hAnsi="Arial" w:cs="Arial"/>
          <w:b/>
          <w:bCs/>
          <w:i/>
          <w:iCs/>
          <w:sz w:val="24"/>
          <w:highlight w:val="none"/>
          <w:lang w:val="es-ES"/>
        </w:rPr>
        <w:t>327261,</w:t>
      </w:r>
      <w:r>
        <w:rPr>
          <w:rFonts w:ascii="Arial" w:hAnsi="Arial" w:eastAsia="Times New Roman" w:cs="Arial"/>
          <w:bCs/>
          <w:kern w:val="0"/>
          <w:sz w:val="20"/>
          <w:szCs w:val="20"/>
          <w:highlight w:val="none"/>
          <w:lang w:val="es-ES" w:eastAsia="es-PE"/>
          <w14:ligatures w14:val="none"/>
        </w:rPr>
        <w:t xml:space="preserve"> </w:t>
      </w:r>
      <w:r>
        <w:rPr>
          <w:rFonts w:ascii="Arial" w:hAnsi="Arial" w:eastAsia="Times New Roman" w:cs="Arial"/>
          <w:kern w:val="0"/>
          <w:sz w:val="20"/>
          <w:szCs w:val="20"/>
          <w:highlight w:val="none"/>
          <w:lang w:val="es-ES" w:eastAsia="es-PE"/>
          <w14:ligatures w14:val="none"/>
        </w:rPr>
        <w:t>presentación del entregable y Recibo por Honorarios.</w:t>
      </w:r>
    </w:p>
    <w:p w14:paraId="4313BAF1">
      <w:pPr>
        <w:spacing w:after="0" w:line="276" w:lineRule="auto"/>
        <w:ind w:left="284"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 xml:space="preserve">El pago se realizará con abono en la cuenta “Código de Cuenta Interbancaria” (CCI) del contratista, como máximo, hasta los diez (10) días </w:t>
      </w:r>
      <w:r>
        <w:rPr>
          <w:rFonts w:hint="default" w:ascii="Arial" w:hAnsi="Arial" w:eastAsia="Times New Roman" w:cs="Arial"/>
          <w:kern w:val="0"/>
          <w:sz w:val="20"/>
          <w:szCs w:val="20"/>
          <w:highlight w:val="none"/>
          <w:lang w:val="es-ES" w:eastAsia="es-PE"/>
          <w14:ligatures w14:val="none"/>
        </w:rPr>
        <w:t>habiles</w:t>
      </w:r>
      <w:r>
        <w:rPr>
          <w:rFonts w:ascii="Arial" w:hAnsi="Arial" w:eastAsia="Times New Roman" w:cs="Arial"/>
          <w:kern w:val="0"/>
          <w:sz w:val="20"/>
          <w:szCs w:val="20"/>
          <w:highlight w:val="none"/>
          <w:lang w:eastAsia="es-PE"/>
          <w14:ligatures w14:val="none"/>
        </w:rPr>
        <w:t xml:space="preserve"> posteriores a la emisión de la conformidad del servicio respectiva y presentación del Recibo por Honorarios. </w:t>
      </w:r>
    </w:p>
    <w:p w14:paraId="66F788CA">
      <w:pPr>
        <w:tabs>
          <w:tab w:val="left" w:pos="1134"/>
        </w:tabs>
        <w:spacing w:after="200" w:line="276" w:lineRule="auto"/>
        <w:ind w:left="1134" w:right="425"/>
        <w:contextualSpacing/>
        <w:jc w:val="both"/>
        <w:rPr>
          <w:rFonts w:ascii="Arial" w:hAnsi="Arial" w:eastAsia="Times New Roman" w:cs="Arial"/>
          <w:bCs/>
          <w:kern w:val="0"/>
          <w:sz w:val="20"/>
          <w:szCs w:val="20"/>
          <w:highlight w:val="none"/>
          <w:lang w:val="es-ES" w:eastAsia="es-PE"/>
          <w14:ligatures w14:val="none"/>
        </w:rPr>
      </w:pPr>
    </w:p>
    <w:p w14:paraId="41479409">
      <w:pPr>
        <w:numPr>
          <w:ilvl w:val="0"/>
          <w:numId w:val="1"/>
        </w:numPr>
        <w:spacing w:after="200" w:line="360" w:lineRule="auto"/>
        <w:ind w:left="567" w:right="425"/>
        <w:contextualSpacing/>
        <w:jc w:val="both"/>
        <w:rPr>
          <w:rFonts w:ascii="Arial" w:hAnsi="Arial" w:eastAsia="Times New Roman" w:cs="Arial"/>
          <w:b/>
          <w:kern w:val="0"/>
          <w:sz w:val="20"/>
          <w:szCs w:val="20"/>
          <w:highlight w:val="none"/>
          <w:lang w:val="es-ES" w:eastAsia="es-PE"/>
          <w14:ligatures w14:val="none"/>
        </w:rPr>
      </w:pPr>
      <w:r>
        <w:rPr>
          <w:rFonts w:ascii="Arial" w:hAnsi="Arial" w:eastAsia="Times New Roman" w:cs="Arial"/>
          <w:b/>
          <w:kern w:val="0"/>
          <w:sz w:val="20"/>
          <w:szCs w:val="20"/>
          <w:highlight w:val="none"/>
          <w:lang w:val="es-ES" w:eastAsia="es-PE"/>
          <w14:ligatures w14:val="none"/>
        </w:rPr>
        <w:t>PENALIDADES APLICABLES</w:t>
      </w:r>
      <w:r>
        <w:rPr>
          <w:rFonts w:ascii="Arial" w:hAnsi="Arial" w:eastAsia="Times New Roman" w:cs="Arial"/>
          <w:bCs/>
          <w:kern w:val="0"/>
          <w:sz w:val="20"/>
          <w:szCs w:val="20"/>
          <w:highlight w:val="none"/>
          <w:lang w:val="es-ES" w:eastAsia="es-PE"/>
          <w14:ligatures w14:val="none"/>
        </w:rPr>
        <w:t>:</w:t>
      </w:r>
    </w:p>
    <w:p w14:paraId="7206F143">
      <w:pPr>
        <w:tabs>
          <w:tab w:val="left" w:pos="1134"/>
        </w:tabs>
        <w:spacing w:after="200" w:line="276" w:lineRule="auto"/>
        <w:ind w:left="567"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12.1</w:t>
      </w:r>
      <w:r>
        <w:rPr>
          <w:rFonts w:ascii="Arial" w:hAnsi="Arial" w:eastAsia="Times New Roman" w:cs="Arial"/>
          <w:bCs/>
          <w:kern w:val="0"/>
          <w:sz w:val="20"/>
          <w:szCs w:val="20"/>
          <w:highlight w:val="none"/>
          <w:lang w:val="es-ES" w:eastAsia="es-PE"/>
          <w14:ligatures w14:val="none"/>
        </w:rPr>
        <w:tab/>
      </w:r>
      <w:r>
        <w:rPr>
          <w:rFonts w:ascii="Arial" w:hAnsi="Arial" w:eastAsia="Times New Roman" w:cs="Arial"/>
          <w:bCs/>
          <w:kern w:val="0"/>
          <w:sz w:val="20"/>
          <w:szCs w:val="20"/>
          <w:highlight w:val="none"/>
          <w:lang w:val="es-ES" w:eastAsia="es-PE"/>
          <w14:ligatures w14:val="none"/>
        </w:rPr>
        <w:t>Penalidad por Mora:</w:t>
      </w:r>
    </w:p>
    <w:p w14:paraId="0F6288EF">
      <w:pPr>
        <w:tabs>
          <w:tab w:val="left" w:pos="1134"/>
        </w:tabs>
        <w:spacing w:after="200" w:line="276" w:lineRule="auto"/>
        <w:ind w:left="1134" w:right="425"/>
        <w:contextualSpacing/>
        <w:jc w:val="both"/>
        <w:rPr>
          <w:rFonts w:ascii="Arial" w:hAnsi="Arial" w:eastAsia="Times New Roman" w:cs="Arial"/>
          <w:bCs/>
          <w:kern w:val="0"/>
          <w:sz w:val="20"/>
          <w:szCs w:val="20"/>
          <w:highlight w:val="none"/>
          <w:lang w:val="es-ES" w:eastAsia="es-PE"/>
          <w14:ligatures w14:val="none"/>
        </w:rPr>
      </w:pPr>
      <w:r>
        <w:rPr>
          <w:rFonts w:ascii="Arial" w:hAnsi="Arial" w:eastAsia="Times New Roman" w:cs="Arial"/>
          <w:bCs/>
          <w:kern w:val="0"/>
          <w:sz w:val="20"/>
          <w:szCs w:val="20"/>
          <w:highlight w:val="none"/>
          <w:lang w:val="es-ES" w:eastAsia="es-PE"/>
          <w14:ligatures w14:val="none"/>
        </w:rPr>
        <w:t>Se aplicará al contratista la penalidad se aplica automáticamente y se calcula  de acuerdo a la normativa aplicable sobre la materia, conforme a la siguiente formula:</w:t>
      </w:r>
    </w:p>
    <w:p w14:paraId="522BFA63">
      <w:pPr>
        <w:tabs>
          <w:tab w:val="left" w:pos="1134"/>
        </w:tabs>
        <w:spacing w:after="200" w:line="276" w:lineRule="auto"/>
        <w:ind w:left="567" w:right="425"/>
        <w:contextualSpacing/>
        <w:jc w:val="both"/>
        <w:rPr>
          <w:rFonts w:ascii="Arial" w:hAnsi="Arial" w:eastAsia="Times New Roman" w:cs="Arial"/>
          <w:bCs/>
          <w:kern w:val="0"/>
          <w:sz w:val="20"/>
          <w:szCs w:val="20"/>
          <w:highlight w:val="none"/>
          <w:lang w:val="es-ES" w:eastAsia="es-PE"/>
          <w14:ligatures w14:val="none"/>
        </w:rPr>
      </w:pPr>
    </w:p>
    <w:p w14:paraId="3435A8FE">
      <w:pPr>
        <w:pStyle w:val="29"/>
        <w:tabs>
          <w:tab w:val="left" w:pos="1134"/>
        </w:tabs>
        <w:ind w:left="567"/>
        <w:jc w:val="both"/>
        <w:rPr>
          <w:rFonts w:ascii="Arial" w:hAnsi="Arial" w:cs="Arial"/>
          <w:bCs/>
          <w:sz w:val="21"/>
          <w:szCs w:val="21"/>
          <w:u w:val="single"/>
          <w:lang w:val="es-ES"/>
        </w:rPr>
      </w:pPr>
      <w:r>
        <w:rPr>
          <w:rFonts w:ascii="Arial" w:hAnsi="Arial" w:eastAsia="Times New Roman" w:cs="Arial"/>
          <w:bCs/>
          <w:kern w:val="0"/>
          <w:sz w:val="20"/>
          <w:szCs w:val="20"/>
          <w:highlight w:val="none"/>
          <w:lang w:val="es-ES" w:eastAsia="es-PE"/>
          <w14:ligatures w14:val="none"/>
        </w:rPr>
        <w:t xml:space="preserve">            </w:t>
      </w:r>
      <w:r>
        <w:rPr>
          <w:rFonts w:ascii="Arial" w:hAnsi="Arial" w:cs="Arial"/>
          <w:bCs/>
          <w:sz w:val="21"/>
          <w:szCs w:val="21"/>
          <w:lang w:val="es-ES"/>
        </w:rPr>
        <w:t xml:space="preserve"> Penalidad diaria =        </w:t>
      </w:r>
      <w:r>
        <w:rPr>
          <w:rFonts w:ascii="Arial" w:hAnsi="Arial" w:cs="Arial"/>
          <w:bCs/>
          <w:sz w:val="21"/>
          <w:szCs w:val="21"/>
          <w:u w:val="single"/>
          <w:lang w:val="es-ES"/>
        </w:rPr>
        <w:t xml:space="preserve"> 0.10x Monto </w:t>
      </w:r>
    </w:p>
    <w:p w14:paraId="09A0DDF6">
      <w:pPr>
        <w:pStyle w:val="29"/>
        <w:tabs>
          <w:tab w:val="left" w:pos="1134"/>
        </w:tabs>
        <w:ind w:left="567"/>
        <w:jc w:val="both"/>
        <w:rPr>
          <w:rFonts w:ascii="Arial" w:hAnsi="Arial" w:cs="Arial"/>
          <w:bCs/>
          <w:sz w:val="21"/>
          <w:szCs w:val="21"/>
          <w:lang w:val="es-ES"/>
        </w:rPr>
      </w:pPr>
      <w:r>
        <w:rPr>
          <w:rFonts w:ascii="Arial" w:hAnsi="Arial" w:cs="Arial"/>
          <w:bCs/>
          <w:sz w:val="21"/>
          <w:szCs w:val="21"/>
          <w:lang w:val="es-ES"/>
        </w:rPr>
        <w:tab/>
      </w:r>
      <w:r>
        <w:rPr>
          <w:rFonts w:ascii="Arial" w:hAnsi="Arial" w:cs="Arial"/>
          <w:bCs/>
          <w:sz w:val="21"/>
          <w:szCs w:val="21"/>
          <w:lang w:val="es-ES"/>
        </w:rPr>
        <w:tab/>
      </w:r>
      <w:r>
        <w:rPr>
          <w:rFonts w:ascii="Arial" w:hAnsi="Arial" w:cs="Arial"/>
          <w:bCs/>
          <w:sz w:val="21"/>
          <w:szCs w:val="21"/>
          <w:lang w:val="es-ES"/>
        </w:rPr>
        <w:tab/>
      </w:r>
      <w:r>
        <w:rPr>
          <w:rFonts w:ascii="Arial" w:hAnsi="Arial" w:cs="Arial"/>
          <w:bCs/>
          <w:sz w:val="21"/>
          <w:szCs w:val="21"/>
          <w:lang w:val="es-ES"/>
        </w:rPr>
        <w:t xml:space="preserve">                         F x plazo  </w:t>
      </w:r>
    </w:p>
    <w:p w14:paraId="6FDBC36B">
      <w:pPr>
        <w:pStyle w:val="29"/>
        <w:tabs>
          <w:tab w:val="left" w:pos="1134"/>
        </w:tabs>
        <w:ind w:left="567"/>
        <w:jc w:val="both"/>
        <w:rPr>
          <w:rFonts w:ascii="Arial" w:hAnsi="Arial" w:cs="Arial"/>
          <w:bCs/>
          <w:sz w:val="21"/>
          <w:szCs w:val="21"/>
          <w:lang w:val="es-ES"/>
        </w:rPr>
      </w:pPr>
    </w:p>
    <w:p w14:paraId="0C97CA0F">
      <w:pPr>
        <w:pStyle w:val="29"/>
        <w:tabs>
          <w:tab w:val="left" w:pos="1134"/>
        </w:tabs>
        <w:ind w:left="567"/>
        <w:jc w:val="both"/>
        <w:rPr>
          <w:rFonts w:ascii="Arial" w:hAnsi="Arial" w:cs="Arial"/>
          <w:bCs/>
          <w:sz w:val="21"/>
          <w:szCs w:val="21"/>
          <w:lang w:val="es-ES"/>
        </w:rPr>
      </w:pPr>
      <w:r>
        <w:rPr>
          <w:rFonts w:ascii="Arial" w:hAnsi="Arial" w:cs="Arial"/>
          <w:bCs/>
          <w:sz w:val="21"/>
          <w:szCs w:val="21"/>
          <w:lang w:val="es-ES"/>
        </w:rPr>
        <w:t>Donde F Tiene los siguientes valores:</w:t>
      </w:r>
    </w:p>
    <w:p w14:paraId="362F57A0">
      <w:pPr>
        <w:pStyle w:val="29"/>
        <w:numPr>
          <w:ilvl w:val="0"/>
          <w:numId w:val="9"/>
        </w:numPr>
        <w:ind w:left="993" w:hanging="426"/>
        <w:jc w:val="both"/>
        <w:rPr>
          <w:rFonts w:ascii="Arial" w:hAnsi="Arial" w:cs="Arial"/>
          <w:bCs/>
          <w:sz w:val="21"/>
          <w:szCs w:val="21"/>
          <w:lang w:val="es-ES"/>
        </w:rPr>
      </w:pPr>
      <w:r>
        <w:rPr>
          <w:rFonts w:ascii="Arial" w:hAnsi="Arial" w:cs="Arial"/>
          <w:bCs/>
          <w:sz w:val="21"/>
          <w:szCs w:val="21"/>
          <w:lang w:val="es-ES"/>
        </w:rPr>
        <w:t xml:space="preserve">      Para</w:t>
      </w:r>
      <w:r>
        <w:rPr>
          <w:rFonts w:hint="default" w:ascii="Arial" w:hAnsi="Arial" w:cs="Arial"/>
          <w:bCs/>
          <w:sz w:val="21"/>
          <w:szCs w:val="21"/>
          <w:lang w:val="es-ES"/>
        </w:rPr>
        <w:t xml:space="preserve"> bienes y servicios: </w:t>
      </w:r>
      <w:r>
        <w:rPr>
          <w:rFonts w:ascii="Arial" w:hAnsi="Arial" w:cs="Arial"/>
          <w:bCs/>
          <w:sz w:val="21"/>
          <w:szCs w:val="21"/>
          <w:lang w:val="es-ES"/>
        </w:rPr>
        <w:t xml:space="preserve"> F=0.40</w:t>
      </w:r>
    </w:p>
    <w:p w14:paraId="39FA0DF8">
      <w:pPr>
        <w:pStyle w:val="29"/>
        <w:numPr>
          <w:ilvl w:val="0"/>
          <w:numId w:val="0"/>
        </w:numPr>
        <w:jc w:val="both"/>
        <w:rPr>
          <w:rFonts w:hint="default" w:ascii="Arial" w:hAnsi="Arial" w:cs="Arial"/>
          <w:bCs/>
          <w:sz w:val="21"/>
          <w:szCs w:val="21"/>
          <w:lang w:val="es-ES"/>
        </w:rPr>
      </w:pPr>
      <w:r>
        <w:rPr>
          <w:rFonts w:hint="default" w:ascii="Arial" w:hAnsi="Arial" w:cs="Arial"/>
          <w:bCs/>
          <w:sz w:val="21"/>
          <w:szCs w:val="21"/>
          <w:lang w:val="es-ES"/>
        </w:rPr>
        <w:t xml:space="preserve">                       </w:t>
      </w:r>
    </w:p>
    <w:p w14:paraId="2862F7C7">
      <w:pPr>
        <w:pStyle w:val="29"/>
        <w:numPr>
          <w:ilvl w:val="0"/>
          <w:numId w:val="0"/>
        </w:numPr>
        <w:ind w:firstLine="1365" w:firstLineChars="650"/>
        <w:jc w:val="both"/>
        <w:rPr>
          <w:rFonts w:hint="default" w:ascii="Arial" w:hAnsi="Arial" w:cs="Arial"/>
          <w:bCs/>
          <w:sz w:val="21"/>
          <w:szCs w:val="21"/>
          <w:lang w:val="es-ES"/>
        </w:rPr>
      </w:pPr>
      <w:r>
        <w:rPr>
          <w:rFonts w:hint="default" w:ascii="Arial" w:hAnsi="Arial" w:cs="Arial"/>
          <w:bCs/>
          <w:sz w:val="21"/>
          <w:szCs w:val="21"/>
          <w:lang w:val="es-ES"/>
        </w:rPr>
        <w:t>Para Obras::</w:t>
      </w:r>
    </w:p>
    <w:p w14:paraId="6BBEF910">
      <w:pPr>
        <w:pStyle w:val="29"/>
        <w:numPr>
          <w:ilvl w:val="0"/>
          <w:numId w:val="10"/>
        </w:numPr>
        <w:ind w:left="1283" w:leftChars="0" w:firstLine="0" w:firstLineChars="0"/>
        <w:jc w:val="both"/>
        <w:rPr>
          <w:rFonts w:hint="default" w:ascii="Arial" w:hAnsi="Arial" w:cs="Arial"/>
          <w:bCs/>
          <w:sz w:val="21"/>
          <w:szCs w:val="21"/>
          <w:lang w:val="es-ES"/>
        </w:rPr>
      </w:pPr>
      <w:r>
        <w:rPr>
          <w:rFonts w:hint="default" w:ascii="Arial" w:hAnsi="Arial" w:cs="Arial"/>
          <w:bCs/>
          <w:sz w:val="21"/>
          <w:szCs w:val="21"/>
          <w:lang w:val="es-ES"/>
        </w:rPr>
        <w:t xml:space="preserve">Para plazos menores o iguales a sesenta dias:  F= 0.40   </w:t>
      </w:r>
    </w:p>
    <w:p w14:paraId="7FEE7CBC">
      <w:pPr>
        <w:pStyle w:val="29"/>
        <w:numPr>
          <w:ilvl w:val="0"/>
          <w:numId w:val="10"/>
        </w:numPr>
        <w:ind w:left="1283" w:leftChars="0" w:firstLine="0" w:firstLineChars="0"/>
        <w:jc w:val="both"/>
        <w:rPr>
          <w:rFonts w:hint="default" w:ascii="Arial" w:hAnsi="Arial" w:cs="Arial"/>
          <w:bCs/>
          <w:sz w:val="21"/>
          <w:szCs w:val="21"/>
          <w:lang w:val="es-ES"/>
        </w:rPr>
      </w:pPr>
      <w:r>
        <w:rPr>
          <w:rFonts w:hint="default" w:ascii="Arial" w:hAnsi="Arial" w:cs="Arial"/>
          <w:bCs/>
          <w:sz w:val="21"/>
          <w:szCs w:val="21"/>
          <w:lang w:val="es-ES"/>
        </w:rPr>
        <w:t>Para plazos entre sesenta y uno a ciento veinte dias:F=0.25.</w:t>
      </w:r>
    </w:p>
    <w:p w14:paraId="356AEF36">
      <w:pPr>
        <w:pStyle w:val="29"/>
        <w:numPr>
          <w:ilvl w:val="0"/>
          <w:numId w:val="10"/>
        </w:numPr>
        <w:ind w:left="1283" w:leftChars="0" w:firstLine="0" w:firstLineChars="0"/>
        <w:jc w:val="both"/>
        <w:rPr>
          <w:rFonts w:hint="default" w:ascii="Arial" w:hAnsi="Arial" w:cs="Arial"/>
          <w:bCs/>
          <w:sz w:val="21"/>
          <w:szCs w:val="21"/>
          <w:lang w:val="es-ES"/>
        </w:rPr>
      </w:pPr>
      <w:r>
        <w:rPr>
          <w:rFonts w:hint="default" w:ascii="Arial" w:hAnsi="Arial" w:cs="Arial"/>
          <w:bCs/>
          <w:sz w:val="21"/>
          <w:szCs w:val="21"/>
          <w:lang w:val="es-ES"/>
        </w:rPr>
        <w:t xml:space="preserve">Para plazos mayores a ciento veinte dias: F=0.15 </w:t>
      </w:r>
    </w:p>
    <w:p w14:paraId="26E283B3">
      <w:pPr>
        <w:pStyle w:val="29"/>
        <w:numPr>
          <w:ilvl w:val="0"/>
          <w:numId w:val="0"/>
        </w:numPr>
        <w:ind w:left="1283" w:leftChars="0"/>
        <w:jc w:val="both"/>
        <w:rPr>
          <w:rFonts w:hint="default" w:ascii="Arial" w:hAnsi="Arial" w:cs="Arial"/>
          <w:bCs/>
          <w:sz w:val="21"/>
          <w:szCs w:val="21"/>
          <w:lang w:val="es-ES"/>
        </w:rPr>
      </w:pPr>
      <w:r>
        <w:rPr>
          <w:rFonts w:hint="default" w:ascii="Arial" w:hAnsi="Arial" w:cs="Arial"/>
          <w:bCs/>
          <w:sz w:val="21"/>
          <w:szCs w:val="21"/>
          <w:lang w:val="es-ES"/>
        </w:rPr>
        <w:t>Para consultores de obras:</w:t>
      </w:r>
    </w:p>
    <w:p w14:paraId="492C3611">
      <w:pPr>
        <w:pStyle w:val="29"/>
        <w:numPr>
          <w:ilvl w:val="0"/>
          <w:numId w:val="0"/>
        </w:numPr>
        <w:ind w:firstLine="1260" w:firstLineChars="600"/>
        <w:jc w:val="both"/>
        <w:rPr>
          <w:rFonts w:hint="default" w:ascii="Arial" w:hAnsi="Arial" w:cs="Arial"/>
          <w:bCs/>
          <w:sz w:val="21"/>
          <w:szCs w:val="21"/>
          <w:lang w:val="es-ES"/>
        </w:rPr>
      </w:pPr>
      <w:r>
        <w:rPr>
          <w:rFonts w:hint="default" w:ascii="Arial" w:hAnsi="Arial" w:cs="Arial"/>
          <w:bCs/>
          <w:sz w:val="21"/>
          <w:szCs w:val="21"/>
          <w:lang w:val="es-ES"/>
        </w:rPr>
        <w:t xml:space="preserve"> consultores de obras:  </w:t>
      </w:r>
    </w:p>
    <w:p w14:paraId="45312E97">
      <w:pPr>
        <w:pStyle w:val="29"/>
        <w:numPr>
          <w:ilvl w:val="0"/>
          <w:numId w:val="11"/>
        </w:numPr>
        <w:jc w:val="both"/>
        <w:rPr>
          <w:rFonts w:hint="default" w:ascii="Arial" w:hAnsi="Arial" w:cs="Arial"/>
          <w:bCs/>
          <w:sz w:val="21"/>
          <w:szCs w:val="21"/>
          <w:lang w:val="es-ES"/>
        </w:rPr>
      </w:pPr>
      <w:r>
        <w:rPr>
          <w:rFonts w:hint="default" w:ascii="Arial" w:hAnsi="Arial" w:cs="Arial"/>
          <w:bCs/>
          <w:sz w:val="21"/>
          <w:szCs w:val="21"/>
          <w:lang w:val="es-ES"/>
        </w:rPr>
        <w:t>Plazos menores o iguales a sesenta dias: F=0.40</w:t>
      </w:r>
    </w:p>
    <w:p w14:paraId="526B1805">
      <w:pPr>
        <w:pStyle w:val="29"/>
        <w:numPr>
          <w:ilvl w:val="0"/>
          <w:numId w:val="11"/>
        </w:numPr>
        <w:jc w:val="both"/>
        <w:rPr>
          <w:rFonts w:ascii="Arial" w:hAnsi="Arial" w:cs="Arial"/>
          <w:bCs/>
          <w:sz w:val="21"/>
          <w:szCs w:val="21"/>
          <w:lang w:val="es-ES"/>
        </w:rPr>
      </w:pPr>
      <w:r>
        <w:rPr>
          <w:rFonts w:hint="default" w:ascii="Arial" w:hAnsi="Arial" w:cs="Arial"/>
          <w:bCs/>
          <w:sz w:val="21"/>
          <w:szCs w:val="21"/>
          <w:lang w:val="es-ES"/>
        </w:rPr>
        <w:t>Para plazos mayores a sesenta dias: F=0.25</w:t>
      </w:r>
    </w:p>
    <w:p w14:paraId="14F92B97">
      <w:pPr>
        <w:numPr>
          <w:ilvl w:val="0"/>
          <w:numId w:val="0"/>
        </w:numPr>
        <w:spacing w:after="200" w:line="276" w:lineRule="auto"/>
        <w:ind w:right="425" w:rightChars="0"/>
        <w:contextualSpacing/>
        <w:jc w:val="both"/>
        <w:rPr>
          <w:rFonts w:ascii="Arial" w:hAnsi="Arial" w:eastAsia="Times New Roman" w:cs="Arial"/>
          <w:bCs/>
          <w:kern w:val="0"/>
          <w:sz w:val="20"/>
          <w:szCs w:val="20"/>
          <w:highlight w:val="none"/>
          <w:lang w:val="es-ES" w:eastAsia="es-PE"/>
          <w14:ligatures w14:val="none"/>
        </w:rPr>
      </w:pPr>
    </w:p>
    <w:p w14:paraId="3609F7E7">
      <w:pPr>
        <w:tabs>
          <w:tab w:val="left" w:pos="1134"/>
        </w:tabs>
        <w:spacing w:after="200" w:line="276" w:lineRule="auto"/>
        <w:ind w:left="567" w:right="425"/>
        <w:contextualSpacing/>
        <w:jc w:val="both"/>
        <w:rPr>
          <w:rFonts w:ascii="Arial" w:hAnsi="Arial" w:eastAsia="Times New Roman" w:cs="Arial"/>
          <w:bCs/>
          <w:kern w:val="0"/>
          <w:sz w:val="20"/>
          <w:szCs w:val="20"/>
          <w:highlight w:val="none"/>
          <w:lang w:val="es-ES" w:eastAsia="es-PE"/>
          <w14:ligatures w14:val="none"/>
        </w:rPr>
      </w:pPr>
    </w:p>
    <w:p w14:paraId="37782DAA">
      <w:pPr>
        <w:spacing w:after="0" w:line="360" w:lineRule="auto"/>
        <w:ind w:right="425"/>
        <w:jc w:val="both"/>
        <w:rPr>
          <w:rFonts w:ascii="Arial" w:hAnsi="Arial" w:eastAsia="Times New Roman" w:cs="Arial"/>
          <w:b/>
          <w:bCs/>
          <w:kern w:val="0"/>
          <w:sz w:val="20"/>
          <w:szCs w:val="20"/>
          <w:highlight w:val="none"/>
          <w:lang w:eastAsia="es-PE"/>
          <w14:ligatures w14:val="none"/>
        </w:rPr>
      </w:pPr>
      <w:r>
        <w:rPr>
          <w:rFonts w:ascii="Arial" w:hAnsi="Arial" w:eastAsia="Times New Roman" w:cs="Arial"/>
          <w:b/>
          <w:bCs/>
          <w:kern w:val="0"/>
          <w:sz w:val="20"/>
          <w:szCs w:val="20"/>
          <w:highlight w:val="none"/>
          <w:lang w:eastAsia="es-PE"/>
          <w14:ligatures w14:val="none"/>
        </w:rPr>
        <w:t xml:space="preserve">13. CONFIDENCIALIDAD Y PROPIEDAD INTELECTUAL </w:t>
      </w:r>
    </w:p>
    <w:p w14:paraId="187C96F2">
      <w:pPr>
        <w:spacing w:after="0" w:line="276" w:lineRule="auto"/>
        <w:ind w:left="426"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La información y material producido bajo los términos de este servicio, tales como escritos, medios magnéticos, digitales, y demás documentación generados por el servicio, pasará a propiedad del Gobierno Regional. El/La proveedor deberá mantener la confidencialidad y reserva absoluta en el manejo de la información y documentación a la que se tenga acceso relacionada a la prestación.</w:t>
      </w:r>
    </w:p>
    <w:p w14:paraId="7EB780A0">
      <w:pPr>
        <w:spacing w:after="0" w:line="360" w:lineRule="auto"/>
        <w:ind w:left="426" w:right="425"/>
        <w:jc w:val="both"/>
        <w:rPr>
          <w:rFonts w:ascii="Arial" w:hAnsi="Arial" w:eastAsia="Times New Roman" w:cs="Arial"/>
          <w:kern w:val="0"/>
          <w:sz w:val="20"/>
          <w:szCs w:val="20"/>
          <w:highlight w:val="none"/>
          <w:lang w:eastAsia="es-PE"/>
          <w14:ligatures w14:val="none"/>
        </w:rPr>
      </w:pPr>
    </w:p>
    <w:p w14:paraId="074BDF75">
      <w:pPr>
        <w:spacing w:after="0" w:line="360" w:lineRule="auto"/>
        <w:ind w:left="426" w:right="425"/>
        <w:jc w:val="both"/>
        <w:rPr>
          <w:rFonts w:ascii="Arial" w:hAnsi="Arial" w:eastAsia="Times New Roman" w:cs="Arial"/>
          <w:kern w:val="0"/>
          <w:sz w:val="20"/>
          <w:szCs w:val="20"/>
          <w:highlight w:val="none"/>
          <w:lang w:eastAsia="es-PE"/>
          <w14:ligatures w14:val="none"/>
        </w:rPr>
      </w:pPr>
    </w:p>
    <w:p w14:paraId="6EC13A44">
      <w:pPr>
        <w:spacing w:after="0" w:line="360" w:lineRule="auto"/>
        <w:ind w:left="426" w:right="425"/>
        <w:jc w:val="both"/>
        <w:rPr>
          <w:rFonts w:ascii="Arial" w:hAnsi="Arial" w:eastAsia="Times New Roman" w:cs="Arial"/>
          <w:kern w:val="0"/>
          <w:sz w:val="20"/>
          <w:szCs w:val="20"/>
          <w:highlight w:val="none"/>
          <w:lang w:eastAsia="es-PE"/>
          <w14:ligatures w14:val="none"/>
        </w:rPr>
      </w:pPr>
    </w:p>
    <w:p w14:paraId="60CE7B99">
      <w:pPr>
        <w:spacing w:after="0" w:line="360" w:lineRule="auto"/>
        <w:ind w:right="425"/>
        <w:jc w:val="both"/>
        <w:rPr>
          <w:rFonts w:ascii="Arial" w:hAnsi="Arial" w:eastAsia="Times New Roman" w:cs="Arial"/>
          <w:b/>
          <w:bCs/>
          <w:kern w:val="0"/>
          <w:sz w:val="20"/>
          <w:szCs w:val="20"/>
          <w:highlight w:val="none"/>
          <w:lang w:eastAsia="es-PE"/>
          <w14:ligatures w14:val="none"/>
        </w:rPr>
      </w:pPr>
      <w:r>
        <w:rPr>
          <w:rFonts w:ascii="Arial" w:hAnsi="Arial" w:eastAsia="Times New Roman" w:cs="Arial"/>
          <w:b/>
          <w:bCs/>
          <w:kern w:val="0"/>
          <w:sz w:val="20"/>
          <w:szCs w:val="20"/>
          <w:highlight w:val="none"/>
          <w:lang w:eastAsia="es-PE"/>
          <w14:ligatures w14:val="none"/>
        </w:rPr>
        <w:t xml:space="preserve">14. RESPONSABILIDAD POR VICIOS OCULTOS </w:t>
      </w:r>
    </w:p>
    <w:p w14:paraId="039BA4F9">
      <w:pPr>
        <w:spacing w:after="0" w:line="360" w:lineRule="auto"/>
        <w:ind w:left="426"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 xml:space="preserve">El contratista es el responsable por errores u omisiones no evidenciadas inicialmente que generen perjuicio o afectación a la finalidad de servicio. </w:t>
      </w:r>
    </w:p>
    <w:p w14:paraId="3780554E">
      <w:pPr>
        <w:spacing w:after="0" w:line="360" w:lineRule="auto"/>
        <w:ind w:left="426" w:right="425"/>
        <w:jc w:val="both"/>
        <w:rPr>
          <w:rFonts w:ascii="Arial" w:hAnsi="Arial" w:eastAsia="Times New Roman" w:cs="Arial"/>
          <w:kern w:val="0"/>
          <w:sz w:val="20"/>
          <w:szCs w:val="20"/>
          <w:highlight w:val="none"/>
          <w:lang w:eastAsia="es-PE"/>
          <w14:ligatures w14:val="none"/>
        </w:rPr>
      </w:pPr>
    </w:p>
    <w:p w14:paraId="051492D7">
      <w:pPr>
        <w:spacing w:after="0" w:line="360" w:lineRule="auto"/>
        <w:ind w:left="426" w:right="425" w:hanging="426"/>
        <w:jc w:val="both"/>
        <w:rPr>
          <w:rFonts w:ascii="Arial" w:hAnsi="Arial" w:eastAsia="Times New Roman" w:cs="Arial"/>
          <w:b/>
          <w:bCs/>
          <w:kern w:val="0"/>
          <w:sz w:val="20"/>
          <w:szCs w:val="20"/>
          <w:highlight w:val="none"/>
          <w:lang w:eastAsia="es-PE"/>
          <w14:ligatures w14:val="none"/>
        </w:rPr>
      </w:pPr>
      <w:r>
        <w:rPr>
          <w:rFonts w:ascii="Arial" w:hAnsi="Arial" w:eastAsia="Times New Roman" w:cs="Arial"/>
          <w:b/>
          <w:bCs/>
          <w:kern w:val="0"/>
          <w:sz w:val="20"/>
          <w:szCs w:val="20"/>
          <w:highlight w:val="none"/>
          <w:lang w:eastAsia="es-PE"/>
          <w14:ligatures w14:val="none"/>
        </w:rPr>
        <w:t xml:space="preserve">15. CLAUSULA DE CUMPLIMIENTO (LEY DE PREVENCION Y MITIGACION DEL CONFLICTO DE INTERESES EN EL ACCESO Y SALIDA DE PERSONAL DEL SERVICIO PUBLICO, LEY N° 31564). </w:t>
      </w:r>
    </w:p>
    <w:p w14:paraId="0152064B">
      <w:pPr>
        <w:spacing w:after="0" w:line="276" w:lineRule="auto"/>
        <w:ind w:left="426"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Son causales de resolución de contrato la presentación con información inexacta o falsa de la Declaración Jurada de Prohibiciones e Incompatibilidades a que se hace referencia en la Ley de prevención y mitigación del conflicto de intereses en el acceso y salida de personal del servicio público. Asimismo, en caso se incumpla con los impedimentos señalados en el artículo 5 de dicha ley se aplicará la inhabilitación por cinco años para contratar o prestar servicios al Estado, bajo cualquier modalidad.</w:t>
      </w:r>
    </w:p>
    <w:p w14:paraId="42C829F6">
      <w:pPr>
        <w:spacing w:after="0" w:line="360" w:lineRule="auto"/>
        <w:ind w:left="426" w:right="425"/>
        <w:jc w:val="both"/>
        <w:rPr>
          <w:rFonts w:ascii="Arial" w:hAnsi="Arial" w:eastAsia="Times New Roman" w:cs="Arial"/>
          <w:kern w:val="0"/>
          <w:sz w:val="20"/>
          <w:szCs w:val="20"/>
          <w:highlight w:val="none"/>
          <w:lang w:eastAsia="es-PE"/>
          <w14:ligatures w14:val="none"/>
        </w:rPr>
      </w:pPr>
    </w:p>
    <w:p w14:paraId="13FE9D7C">
      <w:pPr>
        <w:spacing w:after="0" w:line="360" w:lineRule="auto"/>
        <w:ind w:right="425"/>
        <w:jc w:val="both"/>
        <w:rPr>
          <w:rFonts w:ascii="Arial" w:hAnsi="Arial" w:eastAsia="Times New Roman" w:cs="Arial"/>
          <w:b/>
          <w:bCs/>
          <w:kern w:val="0"/>
          <w:sz w:val="20"/>
          <w:szCs w:val="20"/>
          <w:highlight w:val="none"/>
          <w:lang w:eastAsia="es-PE"/>
          <w14:ligatures w14:val="none"/>
        </w:rPr>
      </w:pPr>
      <w:r>
        <w:rPr>
          <w:rFonts w:ascii="Arial" w:hAnsi="Arial" w:eastAsia="Times New Roman" w:cs="Arial"/>
          <w:b/>
          <w:bCs/>
          <w:kern w:val="0"/>
          <w:sz w:val="20"/>
          <w:szCs w:val="20"/>
          <w:highlight w:val="none"/>
          <w:lang w:eastAsia="es-PE"/>
          <w14:ligatures w14:val="none"/>
        </w:rPr>
        <w:t>16. COMPROMISO ANTICORRUPC</w:t>
      </w:r>
      <w:r>
        <w:rPr>
          <w:rFonts w:hint="default" w:ascii="Arial" w:hAnsi="Arial" w:eastAsia="Times New Roman" w:cs="Arial"/>
          <w:b/>
          <w:bCs/>
          <w:kern w:val="0"/>
          <w:sz w:val="20"/>
          <w:szCs w:val="20"/>
          <w:highlight w:val="none"/>
          <w:lang w:val="es-ES" w:eastAsia="es-PE"/>
          <w14:ligatures w14:val="none"/>
        </w:rPr>
        <w:t>IO</w:t>
      </w:r>
      <w:r>
        <w:rPr>
          <w:rFonts w:ascii="Arial" w:hAnsi="Arial" w:eastAsia="Times New Roman" w:cs="Arial"/>
          <w:b/>
          <w:bCs/>
          <w:kern w:val="0"/>
          <w:sz w:val="20"/>
          <w:szCs w:val="20"/>
          <w:highlight w:val="none"/>
          <w:lang w:eastAsia="es-PE"/>
          <w14:ligatures w14:val="none"/>
        </w:rPr>
        <w:t xml:space="preserve">N Y ANTISOBORNO: </w:t>
      </w:r>
    </w:p>
    <w:p w14:paraId="29EC5831">
      <w:pPr>
        <w:spacing w:after="0" w:line="276" w:lineRule="auto"/>
        <w:ind w:left="709"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 El contratista declara no haber, directa o indirectamente, ofrecido, negociado o efectuado pago o, en general, entregado beneficio o incentivo ilegal en relación al servicio a prestarse bien a proporcionarse. En línea con ello, se compromete a actual en todo momento con integridad, a abstenerse de ofrecer, dar o prometer, regalo u objeto alguno a cambio de cualquier beneficio, percibido de manera directa o indirecta; a cualquier miembro del Consejo Directivo, funcionarios públicos, empleados de confianza, servidores públicos; así como a terceros que tengan participación directa o indirecta en la determinación de las características técnicas y/o valor referencial o valor estimado, elaboración de documentos del procedimiento de selección, calificación y evaluación de oferta, y la conformidad de los contratos derivados de dicho procedimiento.</w:t>
      </w:r>
    </w:p>
    <w:p w14:paraId="6B0027D7">
      <w:pPr>
        <w:spacing w:after="0" w:line="276" w:lineRule="auto"/>
        <w:ind w:left="709"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 xml:space="preserve">• El contratista se compromete a denunciar, en base de una creencia razonable o de buena fe cualquier intento de soborno, supuesto o real, que tuviera conocimiento. </w:t>
      </w:r>
    </w:p>
    <w:p w14:paraId="66756569">
      <w:pPr>
        <w:spacing w:after="0" w:line="276" w:lineRule="auto"/>
        <w:ind w:left="709"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 Asimismo, se obliga a conducirse en todo momento, durante la ejecución del contrato, con honestidad, probidad, veracidad e integridad y de no cometer actos ilegales o de corrupción, directa o indirectamente o a través de sus socios, accionistas, participacioncitas, integrantes los órganos de administración, apoderados, representantes legales, funcionarios, asesores y personas vinculadas, en virtud a lo establecido en los artículos antes citados de La Ley de Contrataciones del Estado y su Reglamento.</w:t>
      </w:r>
    </w:p>
    <w:p w14:paraId="40C066AE">
      <w:pPr>
        <w:spacing w:after="0" w:line="360" w:lineRule="auto"/>
        <w:ind w:left="709" w:right="425"/>
        <w:jc w:val="both"/>
        <w:rPr>
          <w:rFonts w:ascii="Arial" w:hAnsi="Arial" w:eastAsia="Times New Roman" w:cs="Arial"/>
          <w:kern w:val="0"/>
          <w:sz w:val="20"/>
          <w:szCs w:val="20"/>
          <w:highlight w:val="none"/>
          <w:lang w:eastAsia="es-PE"/>
          <w14:ligatures w14:val="none"/>
        </w:rPr>
      </w:pPr>
    </w:p>
    <w:p w14:paraId="302FFA60">
      <w:pPr>
        <w:spacing w:after="0" w:line="360" w:lineRule="auto"/>
        <w:ind w:right="425"/>
        <w:jc w:val="both"/>
        <w:rPr>
          <w:rFonts w:ascii="Arial" w:hAnsi="Arial" w:eastAsia="Times New Roman" w:cs="Arial"/>
          <w:b/>
          <w:bCs/>
          <w:kern w:val="0"/>
          <w:sz w:val="20"/>
          <w:szCs w:val="20"/>
          <w:highlight w:val="none"/>
          <w:lang w:eastAsia="es-PE"/>
          <w14:ligatures w14:val="none"/>
        </w:rPr>
      </w:pPr>
      <w:r>
        <w:rPr>
          <w:rFonts w:ascii="Arial" w:hAnsi="Arial" w:eastAsia="Times New Roman" w:cs="Arial"/>
          <w:b/>
          <w:bCs/>
          <w:kern w:val="0"/>
          <w:sz w:val="20"/>
          <w:szCs w:val="20"/>
          <w:highlight w:val="none"/>
          <w:lang w:eastAsia="es-PE"/>
          <w14:ligatures w14:val="none"/>
        </w:rPr>
        <w:t xml:space="preserve">17. ACUERDO DE CONFIDENCIALIDAD: </w:t>
      </w:r>
    </w:p>
    <w:p w14:paraId="3BA5148F">
      <w:pPr>
        <w:spacing w:after="0" w:line="276" w:lineRule="auto"/>
        <w:ind w:left="426"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El contratista se compromete a guardar reserva de la información privilegiada que conociera en el ejercicio de sus funciones, tareas y demás actividades como parte de la ejecución de la prestación, no revelando en forma oral, escrita, ni por cualquier otro medio, hechos, datos, procedimientos, documentación e información de acceso restringido (confidencial), a la que tuviera acceso a partir del inicio de las prestaciones relacionadas con el referido servicio, manteniendo la confidencialidad de la misma de manera permanente.</w:t>
      </w:r>
    </w:p>
    <w:p w14:paraId="47128A11">
      <w:pPr>
        <w:spacing w:after="0" w:line="276" w:lineRule="auto"/>
        <w:ind w:left="426" w:right="425"/>
        <w:jc w:val="both"/>
        <w:rPr>
          <w:rFonts w:ascii="Arial" w:hAnsi="Arial" w:eastAsia="Times New Roman" w:cs="Arial"/>
          <w:kern w:val="0"/>
          <w:sz w:val="20"/>
          <w:szCs w:val="20"/>
          <w:highlight w:val="none"/>
          <w:lang w:eastAsia="es-PE"/>
          <w14:ligatures w14:val="none"/>
        </w:rPr>
      </w:pPr>
    </w:p>
    <w:p w14:paraId="2D477908">
      <w:pPr>
        <w:spacing w:after="0" w:line="276" w:lineRule="auto"/>
        <w:ind w:left="426"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En caso que incumpliera con cualquiera de las obligaciones estipuladas en el presente acuerdo, el Gobierno Regional está autorizado a iniciar todas las acciones judiciales o extrajudiciales necesarias para resarcir del perjuicio, y la obligación de confidencialidad perdurará mientas la información conserve las características para considerarse Confidencial.</w:t>
      </w:r>
    </w:p>
    <w:p w14:paraId="29FAECFE">
      <w:pPr>
        <w:spacing w:after="0" w:line="360" w:lineRule="auto"/>
        <w:ind w:left="426" w:right="425"/>
        <w:jc w:val="both"/>
        <w:rPr>
          <w:rFonts w:ascii="Arial" w:hAnsi="Arial" w:eastAsia="Times New Roman" w:cs="Arial"/>
          <w:kern w:val="0"/>
          <w:sz w:val="20"/>
          <w:szCs w:val="20"/>
          <w:highlight w:val="none"/>
          <w:lang w:eastAsia="es-PE"/>
          <w14:ligatures w14:val="none"/>
        </w:rPr>
      </w:pPr>
    </w:p>
    <w:p w14:paraId="1A6291E2">
      <w:pPr>
        <w:spacing w:after="0" w:line="360" w:lineRule="auto"/>
        <w:ind w:right="425"/>
        <w:jc w:val="both"/>
        <w:rPr>
          <w:rFonts w:ascii="Arial" w:hAnsi="Arial" w:eastAsia="Times New Roman" w:cs="Arial"/>
          <w:b/>
          <w:bCs/>
          <w:kern w:val="0"/>
          <w:sz w:val="20"/>
          <w:szCs w:val="20"/>
          <w:highlight w:val="none"/>
          <w:lang w:eastAsia="es-PE"/>
          <w14:ligatures w14:val="none"/>
        </w:rPr>
      </w:pPr>
      <w:r>
        <w:rPr>
          <w:rFonts w:ascii="Arial" w:hAnsi="Arial" w:eastAsia="Times New Roman" w:cs="Arial"/>
          <w:b/>
          <w:bCs/>
          <w:kern w:val="0"/>
          <w:sz w:val="20"/>
          <w:szCs w:val="20"/>
          <w:highlight w:val="none"/>
          <w:lang w:eastAsia="es-PE"/>
          <w14:ligatures w14:val="none"/>
        </w:rPr>
        <w:t xml:space="preserve">18. RESOLUCION DE CONTRATO </w:t>
      </w:r>
    </w:p>
    <w:p w14:paraId="52835B20">
      <w:pPr>
        <w:spacing w:after="0" w:line="360" w:lineRule="auto"/>
        <w:ind w:left="284"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Cualquiera de las partes puede resolver, total o parcialmente, el contrato en los siguientes supuestos:</w:t>
      </w:r>
    </w:p>
    <w:p w14:paraId="144BB42B">
      <w:pPr>
        <w:numPr>
          <w:ilvl w:val="0"/>
          <w:numId w:val="12"/>
        </w:numPr>
        <w:spacing w:after="0" w:line="276" w:lineRule="auto"/>
        <w:ind w:right="425"/>
        <w:contextualSpacing/>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Por caso fortuito o fuerza mayor que imposibilite de manera definitiva la continuidad de la ejecución, amparado en un hecho o evento extraordinario, imprevisible; o por un hecho sobreviniente al perfeccionamiento del contrato, orden de compra o servicio, que no sean imputable a las partes.</w:t>
      </w:r>
    </w:p>
    <w:p w14:paraId="374B8B6C">
      <w:pPr>
        <w:numPr>
          <w:ilvl w:val="0"/>
          <w:numId w:val="12"/>
        </w:numPr>
        <w:spacing w:after="0" w:line="276" w:lineRule="auto"/>
        <w:ind w:right="425"/>
        <w:contextualSpacing/>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Incumplimiento de obligaciones contractuales, por causa atribuible a la parte que incumple.</w:t>
      </w:r>
    </w:p>
    <w:p w14:paraId="683071BE">
      <w:pPr>
        <w:numPr>
          <w:ilvl w:val="0"/>
          <w:numId w:val="12"/>
        </w:numPr>
        <w:spacing w:after="0" w:line="276" w:lineRule="auto"/>
        <w:ind w:right="425"/>
        <w:contextualSpacing/>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Hecho sobreviniente al perfeccionamiento del contrato, de supuesto distinto al caso fortuito o fuerza mayor, no imputable a ninguna de las partes, que imposibilite la continuación del contrato.</w:t>
      </w:r>
    </w:p>
    <w:p w14:paraId="2588791D">
      <w:pPr>
        <w:numPr>
          <w:ilvl w:val="0"/>
          <w:numId w:val="12"/>
        </w:numPr>
        <w:spacing w:after="0" w:line="276" w:lineRule="auto"/>
        <w:ind w:right="425"/>
        <w:contextualSpacing/>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 xml:space="preserve">Por incumplimiento de las obligaciones establecidas en la cláusula anticorrupción durante la ejecución contractual. </w:t>
      </w:r>
    </w:p>
    <w:p w14:paraId="7F9B275F">
      <w:pPr>
        <w:numPr>
          <w:ilvl w:val="0"/>
          <w:numId w:val="12"/>
        </w:numPr>
        <w:spacing w:after="0" w:line="276" w:lineRule="auto"/>
        <w:ind w:right="425"/>
        <w:contextualSpacing/>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Por la presentación de documentación falsa o inexacta durante la ejecución contractual.</w:t>
      </w:r>
    </w:p>
    <w:p w14:paraId="7E425F8B">
      <w:pPr>
        <w:numPr>
          <w:ilvl w:val="0"/>
          <w:numId w:val="12"/>
        </w:numPr>
        <w:spacing w:after="0" w:line="276" w:lineRule="auto"/>
        <w:ind w:right="425"/>
        <w:contextualSpacing/>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Por acumulación del monto máximo de la penalidad por mora o de otras penalidades, en la ejecución de la prestación a cargo.</w:t>
      </w:r>
    </w:p>
    <w:p w14:paraId="53585766">
      <w:pPr>
        <w:numPr>
          <w:ilvl w:val="0"/>
          <w:numId w:val="12"/>
        </w:numPr>
        <w:spacing w:after="0" w:line="276" w:lineRule="auto"/>
        <w:ind w:right="425"/>
        <w:contextualSpacing/>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Por mutuo acuerdo entre las partes, previa opinión del área usuaria.</w:t>
      </w:r>
    </w:p>
    <w:p w14:paraId="7F1DC04A">
      <w:pPr>
        <w:spacing w:after="0" w:line="276" w:lineRule="auto"/>
        <w:ind w:left="284" w:right="425"/>
        <w:jc w:val="both"/>
        <w:rPr>
          <w:rFonts w:ascii="Arial" w:hAnsi="Arial" w:eastAsia="Times New Roman" w:cs="Arial"/>
          <w:kern w:val="0"/>
          <w:sz w:val="20"/>
          <w:szCs w:val="20"/>
          <w:highlight w:val="none"/>
          <w:lang w:eastAsia="es-PE"/>
          <w14:ligatures w14:val="none"/>
        </w:rPr>
      </w:pPr>
    </w:p>
    <w:p w14:paraId="3366C7BA">
      <w:pPr>
        <w:spacing w:after="0" w:line="276" w:lineRule="auto"/>
        <w:ind w:left="284"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En caso de resolución por incumplimiento del contratista, el Entidad le otorga el plazo de tres (3) días hábiles para que ejecute la prestación o subsanar la observación, bajo apercibimiento de resolver el contrato. Salvo que el incumplimiento no pueda ser revertido, únicamente se notificara la decisión de resolución de contrato.</w:t>
      </w:r>
    </w:p>
    <w:p w14:paraId="0908F354">
      <w:pPr>
        <w:spacing w:after="0" w:line="276" w:lineRule="auto"/>
        <w:ind w:left="284"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El apercibimiento previo no es aplicable en caso se haya llegado a completar el monto máximo de penalidad al contratista, donde el área usuaria evaluara la decisión de resolver el contrato.</w:t>
      </w:r>
    </w:p>
    <w:p w14:paraId="376B9F4E">
      <w:pPr>
        <w:spacing w:after="0" w:line="276" w:lineRule="auto"/>
        <w:ind w:left="284"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La resolución de contrato puede ser de forma total o parcial. La resolución parcial sólo involucra a aquella parte del contrato afectada por el incumplimiento y siempre que dicha parte sea cuantificable, separable e independiente del resto de las obligaciones contractuales. El apercibimiento previo y la resolución que se efectúe precisan con claridad qué parte del contrato queda resuelta, de no hacerse tal precisión, se entiende que la resolución es total.</w:t>
      </w:r>
    </w:p>
    <w:p w14:paraId="36CB393F">
      <w:pPr>
        <w:spacing w:after="0" w:line="276" w:lineRule="auto"/>
        <w:ind w:left="284"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La resolución del contrato por incumplimiento de la cláusula anticorrupción y antisoborno no impide el inicio de las acciones civiles, penales y administrativas a que hubiera lugar.</w:t>
      </w:r>
    </w:p>
    <w:p w14:paraId="2D5FEB6C">
      <w:pPr>
        <w:spacing w:after="0" w:line="276" w:lineRule="auto"/>
        <w:ind w:left="284"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 xml:space="preserve">Para el caso de presentación de documentación falsa o inexacta durante la ejecución contractual, la resolución de contrato será efectivo previa verificación de los documentos cuestionados. </w:t>
      </w:r>
    </w:p>
    <w:p w14:paraId="53D7574A">
      <w:pPr>
        <w:spacing w:after="0" w:line="360" w:lineRule="auto"/>
        <w:ind w:left="284" w:right="425"/>
        <w:jc w:val="both"/>
        <w:rPr>
          <w:rFonts w:ascii="Arial" w:hAnsi="Arial" w:eastAsia="Times New Roman" w:cs="Arial"/>
          <w:kern w:val="0"/>
          <w:sz w:val="20"/>
          <w:szCs w:val="20"/>
          <w:highlight w:val="none"/>
          <w:lang w:eastAsia="es-PE"/>
          <w14:ligatures w14:val="none"/>
        </w:rPr>
      </w:pPr>
    </w:p>
    <w:p w14:paraId="073C8F8C">
      <w:pPr>
        <w:spacing w:after="0" w:line="360" w:lineRule="auto"/>
        <w:ind w:right="425"/>
        <w:jc w:val="both"/>
        <w:rPr>
          <w:rFonts w:ascii="Arial" w:hAnsi="Arial" w:eastAsia="Times New Roman" w:cs="Arial"/>
          <w:b/>
          <w:bCs/>
          <w:kern w:val="0"/>
          <w:sz w:val="20"/>
          <w:szCs w:val="20"/>
          <w:highlight w:val="none"/>
          <w:lang w:eastAsia="es-PE"/>
          <w14:ligatures w14:val="none"/>
        </w:rPr>
      </w:pPr>
      <w:r>
        <w:rPr>
          <w:rFonts w:ascii="Arial" w:hAnsi="Arial" w:eastAsia="Times New Roman" w:cs="Arial"/>
          <w:b/>
          <w:bCs/>
          <w:kern w:val="0"/>
          <w:sz w:val="20"/>
          <w:szCs w:val="20"/>
          <w:highlight w:val="none"/>
          <w:lang w:eastAsia="es-PE"/>
          <w14:ligatures w14:val="none"/>
        </w:rPr>
        <w:t>19. SOLUC</w:t>
      </w:r>
      <w:r>
        <w:rPr>
          <w:rFonts w:hint="default" w:ascii="Arial" w:hAnsi="Arial" w:eastAsia="Times New Roman" w:cs="Arial"/>
          <w:b/>
          <w:bCs/>
          <w:kern w:val="0"/>
          <w:sz w:val="20"/>
          <w:szCs w:val="20"/>
          <w:highlight w:val="none"/>
          <w:lang w:val="es-ES" w:eastAsia="es-PE"/>
          <w14:ligatures w14:val="none"/>
        </w:rPr>
        <w:t>IO</w:t>
      </w:r>
      <w:r>
        <w:rPr>
          <w:rFonts w:ascii="Arial" w:hAnsi="Arial" w:eastAsia="Times New Roman" w:cs="Arial"/>
          <w:b/>
          <w:bCs/>
          <w:kern w:val="0"/>
          <w:sz w:val="20"/>
          <w:szCs w:val="20"/>
          <w:highlight w:val="none"/>
          <w:lang w:eastAsia="es-PE"/>
          <w14:ligatures w14:val="none"/>
        </w:rPr>
        <w:t xml:space="preserve">N DE CONTROVERSIA </w:t>
      </w:r>
    </w:p>
    <w:p w14:paraId="395BA349">
      <w:pPr>
        <w:spacing w:after="0" w:line="276" w:lineRule="auto"/>
        <w:ind w:left="426" w:right="425"/>
        <w:jc w:val="both"/>
        <w:rPr>
          <w:rFonts w:ascii="Arial" w:hAnsi="Arial" w:eastAsia="Times New Roman" w:cs="Arial"/>
          <w:kern w:val="0"/>
          <w:sz w:val="20"/>
          <w:szCs w:val="20"/>
          <w:highlight w:val="none"/>
          <w:lang w:eastAsia="es-PE"/>
          <w14:ligatures w14:val="none"/>
        </w:rPr>
      </w:pPr>
      <w:r>
        <w:rPr>
          <w:rFonts w:ascii="Arial" w:hAnsi="Arial" w:eastAsia="Times New Roman" w:cs="Arial"/>
          <w:kern w:val="0"/>
          <w:sz w:val="20"/>
          <w:szCs w:val="20"/>
          <w:highlight w:val="none"/>
          <w:lang w:eastAsia="es-PE"/>
          <w14:ligatures w14:val="none"/>
        </w:rPr>
        <w:t>Toda controversia que surja entre las partes sobre la validez, nulidad, interpretación, ejecución, terminación o eficacia del contrato se resuelven mediante conciliación, conforme al Artículo 81 de la Ley 32069 – Ley General de Contrataciones Publicas y 330 del Decreto Supremo Nº 009-2025-EF – Reglamento de la Ley General de Contrataciones Publicas.</w:t>
      </w:r>
    </w:p>
    <w:p w14:paraId="1D2D00BC">
      <w:pPr>
        <w:spacing w:after="0" w:line="276" w:lineRule="auto"/>
        <w:ind w:left="426" w:right="425"/>
        <w:jc w:val="both"/>
        <w:rPr>
          <w:rFonts w:ascii="Arial" w:hAnsi="Arial" w:eastAsia="Times New Roman" w:cs="Arial"/>
          <w:kern w:val="0"/>
          <w:sz w:val="20"/>
          <w:szCs w:val="20"/>
          <w:highlight w:val="none"/>
          <w:lang w:eastAsia="es-PE"/>
          <w14:ligatures w14:val="none"/>
        </w:rPr>
      </w:pPr>
    </w:p>
    <w:p w14:paraId="0B93EE8E">
      <w:pPr>
        <w:spacing w:after="200" w:line="276" w:lineRule="auto"/>
        <w:ind w:right="425"/>
        <w:jc w:val="center"/>
        <w:rPr>
          <w:rFonts w:ascii="Arial" w:hAnsi="Arial" w:eastAsia="Times New Roman" w:cs="Arial"/>
          <w:b/>
          <w:kern w:val="0"/>
          <w:sz w:val="20"/>
          <w:szCs w:val="20"/>
          <w:lang w:val="es-ES" w:eastAsia="es-PE"/>
          <w14:ligatures w14:val="none"/>
        </w:rPr>
      </w:pPr>
    </w:p>
    <w:p w14:paraId="3D5523CE">
      <w:pPr>
        <w:rPr>
          <w:rFonts w:hint="default"/>
          <w:sz w:val="20"/>
          <w:szCs w:val="20"/>
          <w:lang w:val="es-ES"/>
        </w:rPr>
      </w:pPr>
      <w:r>
        <w:rPr>
          <w:rFonts w:hint="default"/>
          <w:sz w:val="20"/>
          <w:szCs w:val="20"/>
          <w:lang w:val="es-ES"/>
        </w:rPr>
        <w:t>Sdddddddddddddddddddddddddddddddd&lt;d</w:t>
      </w:r>
    </w:p>
    <w:sectPr>
      <w:pgSz w:w="11906" w:h="16838"/>
      <w:pgMar w:top="1276" w:right="1416" w:bottom="709" w:left="1276"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Century Gothic">
    <w:panose1 w:val="020B0502020202020204"/>
    <w:charset w:val="00"/>
    <w:family w:val="swiss"/>
    <w:pitch w:val="default"/>
    <w:sig w:usb0="00000287" w:usb1="00000000" w:usb2="00000000" w:usb3="00000000" w:csb0="2000009F" w:csb1="DFD70000"/>
  </w:font>
  <w:font w:name="Arial Nova Cond">
    <w:altName w:val="Arial"/>
    <w:panose1 w:val="00000000000000000000"/>
    <w:charset w:val="00"/>
    <w:family w:val="swiss"/>
    <w:pitch w:val="default"/>
    <w:sig w:usb0="00000000" w:usb1="00000000" w:usb2="00000000" w:usb3="00000000" w:csb0="0000019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94B2B5"/>
    <w:multiLevelType w:val="singleLevel"/>
    <w:tmpl w:val="C794B2B5"/>
    <w:lvl w:ilvl="0" w:tentative="0">
      <w:start w:val="1"/>
      <w:numFmt w:val="upperLetter"/>
      <w:suff w:val="space"/>
      <w:lvlText w:val="%1)"/>
      <w:lvlJc w:val="left"/>
      <w:pPr>
        <w:ind w:left="1283" w:leftChars="0" w:firstLine="0" w:firstLineChars="0"/>
      </w:pPr>
    </w:lvl>
  </w:abstractNum>
  <w:abstractNum w:abstractNumId="1">
    <w:nsid w:val="05971881"/>
    <w:multiLevelType w:val="multilevel"/>
    <w:tmpl w:val="05971881"/>
    <w:lvl w:ilvl="0" w:tentative="0">
      <w:start w:val="1"/>
      <w:numFmt w:val="lowerLetter"/>
      <w:lvlText w:val="%1)"/>
      <w:lvlJc w:val="left"/>
      <w:pPr>
        <w:ind w:left="735" w:hanging="375"/>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8D30572"/>
    <w:multiLevelType w:val="multilevel"/>
    <w:tmpl w:val="18D30572"/>
    <w:lvl w:ilvl="0" w:tentative="0">
      <w:start w:val="1"/>
      <w:numFmt w:val="bullet"/>
      <w:lvlText w:val=""/>
      <w:lvlJc w:val="left"/>
      <w:pPr>
        <w:ind w:left="1287" w:hanging="360"/>
      </w:pPr>
      <w:rPr>
        <w:rFonts w:hint="default" w:ascii="Symbol" w:hAnsi="Symbol"/>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3">
    <w:nsid w:val="1F0E032E"/>
    <w:multiLevelType w:val="multilevel"/>
    <w:tmpl w:val="1F0E032E"/>
    <w:lvl w:ilvl="0" w:tentative="0">
      <w:start w:val="1"/>
      <w:numFmt w:val="bullet"/>
      <w:lvlText w:val=""/>
      <w:lvlJc w:val="left"/>
      <w:pPr>
        <w:ind w:left="1287" w:hanging="360"/>
      </w:pPr>
      <w:rPr>
        <w:rFonts w:hint="default" w:ascii="Wingdings" w:hAnsi="Wingdings"/>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4">
    <w:nsid w:val="32355626"/>
    <w:multiLevelType w:val="multilevel"/>
    <w:tmpl w:val="32355626"/>
    <w:lvl w:ilvl="0" w:tentative="0">
      <w:start w:val="10"/>
      <w:numFmt w:val="decimal"/>
      <w:lvlText w:val="%1"/>
      <w:lvlJc w:val="left"/>
      <w:pPr>
        <w:ind w:left="435" w:hanging="435"/>
      </w:pPr>
      <w:rPr>
        <w:rFonts w:hint="default"/>
        <w:b/>
      </w:rPr>
    </w:lvl>
    <w:lvl w:ilvl="1" w:tentative="0">
      <w:start w:val="1"/>
      <w:numFmt w:val="decimal"/>
      <w:lvlText w:val="%1.%2"/>
      <w:lvlJc w:val="left"/>
      <w:pPr>
        <w:ind w:left="1853" w:hanging="435"/>
      </w:pPr>
      <w:rPr>
        <w:rFonts w:hint="default"/>
        <w:b/>
      </w:rPr>
    </w:lvl>
    <w:lvl w:ilvl="2" w:tentative="0">
      <w:start w:val="1"/>
      <w:numFmt w:val="decimal"/>
      <w:lvlText w:val="%1.%2.%3"/>
      <w:lvlJc w:val="left"/>
      <w:pPr>
        <w:ind w:left="3556" w:hanging="720"/>
      </w:pPr>
      <w:rPr>
        <w:rFonts w:hint="default"/>
        <w:b/>
      </w:rPr>
    </w:lvl>
    <w:lvl w:ilvl="3" w:tentative="0">
      <w:start w:val="1"/>
      <w:numFmt w:val="decimal"/>
      <w:lvlText w:val="%1.%2.%3.%4"/>
      <w:lvlJc w:val="left"/>
      <w:pPr>
        <w:ind w:left="4974" w:hanging="720"/>
      </w:pPr>
      <w:rPr>
        <w:rFonts w:hint="default"/>
        <w:b/>
      </w:rPr>
    </w:lvl>
    <w:lvl w:ilvl="4" w:tentative="0">
      <w:start w:val="1"/>
      <w:numFmt w:val="decimal"/>
      <w:lvlText w:val="%1.%2.%3.%4.%5"/>
      <w:lvlJc w:val="left"/>
      <w:pPr>
        <w:ind w:left="6752" w:hanging="1080"/>
      </w:pPr>
      <w:rPr>
        <w:rFonts w:hint="default"/>
        <w:b/>
      </w:rPr>
    </w:lvl>
    <w:lvl w:ilvl="5" w:tentative="0">
      <w:start w:val="1"/>
      <w:numFmt w:val="decimal"/>
      <w:lvlText w:val="%1.%2.%3.%4.%5.%6"/>
      <w:lvlJc w:val="left"/>
      <w:pPr>
        <w:ind w:left="8170" w:hanging="1080"/>
      </w:pPr>
      <w:rPr>
        <w:rFonts w:hint="default"/>
        <w:b/>
      </w:rPr>
    </w:lvl>
    <w:lvl w:ilvl="6" w:tentative="0">
      <w:start w:val="1"/>
      <w:numFmt w:val="decimal"/>
      <w:lvlText w:val="%1.%2.%3.%4.%5.%6.%7"/>
      <w:lvlJc w:val="left"/>
      <w:pPr>
        <w:ind w:left="9948" w:hanging="1440"/>
      </w:pPr>
      <w:rPr>
        <w:rFonts w:hint="default"/>
        <w:b/>
      </w:rPr>
    </w:lvl>
    <w:lvl w:ilvl="7" w:tentative="0">
      <w:start w:val="1"/>
      <w:numFmt w:val="decimal"/>
      <w:lvlText w:val="%1.%2.%3.%4.%5.%6.%7.%8"/>
      <w:lvlJc w:val="left"/>
      <w:pPr>
        <w:ind w:left="11366" w:hanging="1440"/>
      </w:pPr>
      <w:rPr>
        <w:rFonts w:hint="default"/>
        <w:b/>
      </w:rPr>
    </w:lvl>
    <w:lvl w:ilvl="8" w:tentative="0">
      <w:start w:val="1"/>
      <w:numFmt w:val="decimal"/>
      <w:lvlText w:val="%1.%2.%3.%4.%5.%6.%7.%8.%9"/>
      <w:lvlJc w:val="left"/>
      <w:pPr>
        <w:ind w:left="12784" w:hanging="1440"/>
      </w:pPr>
      <w:rPr>
        <w:rFonts w:hint="default"/>
        <w:b/>
      </w:rPr>
    </w:lvl>
  </w:abstractNum>
  <w:abstractNum w:abstractNumId="5">
    <w:nsid w:val="36812366"/>
    <w:multiLevelType w:val="multilevel"/>
    <w:tmpl w:val="36812366"/>
    <w:lvl w:ilvl="0" w:tentative="0">
      <w:start w:val="1"/>
      <w:numFmt w:val="bullet"/>
      <w:lvlText w:val=""/>
      <w:lvlJc w:val="left"/>
      <w:pPr>
        <w:ind w:left="1287" w:hanging="360"/>
      </w:pPr>
      <w:rPr>
        <w:rFonts w:hint="default" w:ascii="Wingdings" w:hAnsi="Wingdings"/>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6">
    <w:nsid w:val="39D4447F"/>
    <w:multiLevelType w:val="multilevel"/>
    <w:tmpl w:val="39D4447F"/>
    <w:lvl w:ilvl="0" w:tentative="0">
      <w:start w:val="1"/>
      <w:numFmt w:val="bullet"/>
      <w:lvlText w:val="-"/>
      <w:lvlJc w:val="left"/>
      <w:pPr>
        <w:ind w:left="720" w:hanging="360"/>
      </w:pPr>
      <w:rPr>
        <w:rFonts w:hint="default" w:ascii="Century Gothic" w:hAnsi="Century Gothic"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D9E05DF"/>
    <w:multiLevelType w:val="multilevel"/>
    <w:tmpl w:val="3D9E05DF"/>
    <w:lvl w:ilvl="0" w:tentative="0">
      <w:start w:val="1"/>
      <w:numFmt w:val="decimal"/>
      <w:lvlText w:val="%1."/>
      <w:lvlJc w:val="left"/>
      <w:pPr>
        <w:ind w:left="1080" w:hanging="720"/>
      </w:pPr>
      <w:rPr>
        <w:rFonts w:hint="default"/>
        <w:b/>
        <w:bCs/>
      </w:rPr>
    </w:lvl>
    <w:lvl w:ilvl="1" w:tentative="0">
      <w:start w:val="1"/>
      <w:numFmt w:val="decimal"/>
      <w:isLgl/>
      <w:lvlText w:val="%1.%2."/>
      <w:lvlJc w:val="left"/>
      <w:pPr>
        <w:ind w:left="1440" w:hanging="360"/>
      </w:pPr>
      <w:rPr>
        <w:rFonts w:hint="default"/>
      </w:rPr>
    </w:lvl>
    <w:lvl w:ilvl="2" w:tentative="0">
      <w:start w:val="1"/>
      <w:numFmt w:val="decimal"/>
      <w:isLgl/>
      <w:lvlText w:val="%1.%2.%3."/>
      <w:lvlJc w:val="left"/>
      <w:pPr>
        <w:ind w:left="2520" w:hanging="720"/>
      </w:pPr>
      <w:rPr>
        <w:rFonts w:hint="default"/>
      </w:rPr>
    </w:lvl>
    <w:lvl w:ilvl="3" w:tentative="0">
      <w:start w:val="1"/>
      <w:numFmt w:val="decimal"/>
      <w:isLgl/>
      <w:lvlText w:val="%1.%2.%3.%4."/>
      <w:lvlJc w:val="left"/>
      <w:pPr>
        <w:ind w:left="3240" w:hanging="720"/>
      </w:pPr>
      <w:rPr>
        <w:rFonts w:hint="default"/>
      </w:rPr>
    </w:lvl>
    <w:lvl w:ilvl="4" w:tentative="0">
      <w:start w:val="1"/>
      <w:numFmt w:val="decimal"/>
      <w:isLgl/>
      <w:lvlText w:val="%1.%2.%3.%4.%5."/>
      <w:lvlJc w:val="left"/>
      <w:pPr>
        <w:ind w:left="4320" w:hanging="1080"/>
      </w:pPr>
      <w:rPr>
        <w:rFonts w:hint="default"/>
      </w:rPr>
    </w:lvl>
    <w:lvl w:ilvl="5" w:tentative="0">
      <w:start w:val="1"/>
      <w:numFmt w:val="decimal"/>
      <w:isLgl/>
      <w:lvlText w:val="%1.%2.%3.%4.%5.%6."/>
      <w:lvlJc w:val="left"/>
      <w:pPr>
        <w:ind w:left="5040" w:hanging="1080"/>
      </w:pPr>
      <w:rPr>
        <w:rFonts w:hint="default"/>
      </w:rPr>
    </w:lvl>
    <w:lvl w:ilvl="6" w:tentative="0">
      <w:start w:val="1"/>
      <w:numFmt w:val="decimal"/>
      <w:isLgl/>
      <w:lvlText w:val="%1.%2.%3.%4.%5.%6.%7."/>
      <w:lvlJc w:val="left"/>
      <w:pPr>
        <w:ind w:left="6120" w:hanging="1440"/>
      </w:pPr>
      <w:rPr>
        <w:rFonts w:hint="default"/>
      </w:rPr>
    </w:lvl>
    <w:lvl w:ilvl="7" w:tentative="0">
      <w:start w:val="1"/>
      <w:numFmt w:val="decimal"/>
      <w:isLgl/>
      <w:lvlText w:val="%1.%2.%3.%4.%5.%6.%7.%8."/>
      <w:lvlJc w:val="left"/>
      <w:pPr>
        <w:ind w:left="6840" w:hanging="1440"/>
      </w:pPr>
      <w:rPr>
        <w:rFonts w:hint="default"/>
      </w:rPr>
    </w:lvl>
    <w:lvl w:ilvl="8" w:tentative="0">
      <w:start w:val="1"/>
      <w:numFmt w:val="decimal"/>
      <w:isLgl/>
      <w:lvlText w:val="%1.%2.%3.%4.%5.%6.%7.%8.%9."/>
      <w:lvlJc w:val="left"/>
      <w:pPr>
        <w:ind w:left="7920" w:hanging="1800"/>
      </w:pPr>
      <w:rPr>
        <w:rFonts w:hint="default"/>
      </w:rPr>
    </w:lvl>
  </w:abstractNum>
  <w:abstractNum w:abstractNumId="8">
    <w:nsid w:val="4D9E5B94"/>
    <w:multiLevelType w:val="multilevel"/>
    <w:tmpl w:val="4D9E5B94"/>
    <w:lvl w:ilvl="0" w:tentative="0">
      <w:start w:val="1"/>
      <w:numFmt w:val="bullet"/>
      <w:lvlText w:val=""/>
      <w:lvlJc w:val="left"/>
      <w:pPr>
        <w:ind w:left="1428" w:hanging="360"/>
      </w:pPr>
      <w:rPr>
        <w:rFonts w:hint="default" w:ascii="Wingdings" w:hAnsi="Wingdings"/>
      </w:rPr>
    </w:lvl>
    <w:lvl w:ilvl="1" w:tentative="0">
      <w:start w:val="1"/>
      <w:numFmt w:val="bullet"/>
      <w:lvlText w:val="o"/>
      <w:lvlJc w:val="left"/>
      <w:pPr>
        <w:ind w:left="2148" w:hanging="360"/>
      </w:pPr>
      <w:rPr>
        <w:rFonts w:hint="default" w:ascii="Courier New" w:hAnsi="Courier New" w:cs="Courier New"/>
      </w:rPr>
    </w:lvl>
    <w:lvl w:ilvl="2" w:tentative="0">
      <w:start w:val="1"/>
      <w:numFmt w:val="bullet"/>
      <w:lvlText w:val=""/>
      <w:lvlJc w:val="left"/>
      <w:pPr>
        <w:ind w:left="2868" w:hanging="360"/>
      </w:pPr>
      <w:rPr>
        <w:rFonts w:hint="default" w:ascii="Wingdings" w:hAnsi="Wingdings"/>
      </w:rPr>
    </w:lvl>
    <w:lvl w:ilvl="3" w:tentative="0">
      <w:start w:val="1"/>
      <w:numFmt w:val="bullet"/>
      <w:lvlText w:val=""/>
      <w:lvlJc w:val="left"/>
      <w:pPr>
        <w:ind w:left="3588" w:hanging="360"/>
      </w:pPr>
      <w:rPr>
        <w:rFonts w:hint="default" w:ascii="Symbol" w:hAnsi="Symbol"/>
      </w:rPr>
    </w:lvl>
    <w:lvl w:ilvl="4" w:tentative="0">
      <w:start w:val="1"/>
      <w:numFmt w:val="bullet"/>
      <w:lvlText w:val="o"/>
      <w:lvlJc w:val="left"/>
      <w:pPr>
        <w:ind w:left="4308" w:hanging="360"/>
      </w:pPr>
      <w:rPr>
        <w:rFonts w:hint="default" w:ascii="Courier New" w:hAnsi="Courier New" w:cs="Courier New"/>
      </w:rPr>
    </w:lvl>
    <w:lvl w:ilvl="5" w:tentative="0">
      <w:start w:val="1"/>
      <w:numFmt w:val="bullet"/>
      <w:lvlText w:val=""/>
      <w:lvlJc w:val="left"/>
      <w:pPr>
        <w:ind w:left="5028" w:hanging="360"/>
      </w:pPr>
      <w:rPr>
        <w:rFonts w:hint="default" w:ascii="Wingdings" w:hAnsi="Wingdings"/>
      </w:rPr>
    </w:lvl>
    <w:lvl w:ilvl="6" w:tentative="0">
      <w:start w:val="1"/>
      <w:numFmt w:val="bullet"/>
      <w:lvlText w:val=""/>
      <w:lvlJc w:val="left"/>
      <w:pPr>
        <w:ind w:left="5748" w:hanging="360"/>
      </w:pPr>
      <w:rPr>
        <w:rFonts w:hint="default" w:ascii="Symbol" w:hAnsi="Symbol"/>
      </w:rPr>
    </w:lvl>
    <w:lvl w:ilvl="7" w:tentative="0">
      <w:start w:val="1"/>
      <w:numFmt w:val="bullet"/>
      <w:lvlText w:val="o"/>
      <w:lvlJc w:val="left"/>
      <w:pPr>
        <w:ind w:left="6468" w:hanging="360"/>
      </w:pPr>
      <w:rPr>
        <w:rFonts w:hint="default" w:ascii="Courier New" w:hAnsi="Courier New" w:cs="Courier New"/>
      </w:rPr>
    </w:lvl>
    <w:lvl w:ilvl="8" w:tentative="0">
      <w:start w:val="1"/>
      <w:numFmt w:val="bullet"/>
      <w:lvlText w:val=""/>
      <w:lvlJc w:val="left"/>
      <w:pPr>
        <w:ind w:left="7188" w:hanging="360"/>
      </w:pPr>
      <w:rPr>
        <w:rFonts w:hint="default" w:ascii="Wingdings" w:hAnsi="Wingdings"/>
      </w:rPr>
    </w:lvl>
  </w:abstractNum>
  <w:abstractNum w:abstractNumId="9">
    <w:nsid w:val="7059615A"/>
    <w:multiLevelType w:val="multilevel"/>
    <w:tmpl w:val="7059615A"/>
    <w:lvl w:ilvl="0" w:tentative="0">
      <w:start w:val="1"/>
      <w:numFmt w:val="upp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7AC583EE"/>
    <w:multiLevelType w:val="singleLevel"/>
    <w:tmpl w:val="7AC583EE"/>
    <w:lvl w:ilvl="0" w:tentative="0">
      <w:start w:val="1"/>
      <w:numFmt w:val="lowerLetter"/>
      <w:suff w:val="space"/>
      <w:lvlText w:val="%1)"/>
      <w:lvlJc w:val="left"/>
    </w:lvl>
  </w:abstractNum>
  <w:abstractNum w:abstractNumId="11">
    <w:nsid w:val="7EB35AC2"/>
    <w:multiLevelType w:val="multilevel"/>
    <w:tmpl w:val="7EB35AC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7"/>
  </w:num>
  <w:num w:numId="2">
    <w:abstractNumId w:val="8"/>
  </w:num>
  <w:num w:numId="3">
    <w:abstractNumId w:val="5"/>
  </w:num>
  <w:num w:numId="4">
    <w:abstractNumId w:val="3"/>
  </w:num>
  <w:num w:numId="5">
    <w:abstractNumId w:val="11"/>
  </w:num>
  <w:num w:numId="6">
    <w:abstractNumId w:val="6"/>
  </w:num>
  <w:num w:numId="7">
    <w:abstractNumId w:val="9"/>
  </w:num>
  <w:num w:numId="8">
    <w:abstractNumId w:val="4"/>
  </w:num>
  <w:num w:numId="9">
    <w:abstractNumId w:val="2"/>
  </w:num>
  <w:num w:numId="10">
    <w:abstractNumId w:val="0"/>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E06"/>
    <w:rsid w:val="00001D8A"/>
    <w:rsid w:val="00001EE1"/>
    <w:rsid w:val="000100C9"/>
    <w:rsid w:val="00077942"/>
    <w:rsid w:val="00081D62"/>
    <w:rsid w:val="000829F4"/>
    <w:rsid w:val="00170FF4"/>
    <w:rsid w:val="001B0DDE"/>
    <w:rsid w:val="001E1C62"/>
    <w:rsid w:val="001F3392"/>
    <w:rsid w:val="00273775"/>
    <w:rsid w:val="00297737"/>
    <w:rsid w:val="002C1C4E"/>
    <w:rsid w:val="00320E0F"/>
    <w:rsid w:val="003B1266"/>
    <w:rsid w:val="003F5CE8"/>
    <w:rsid w:val="00431C45"/>
    <w:rsid w:val="00445C7E"/>
    <w:rsid w:val="004B6782"/>
    <w:rsid w:val="004C0599"/>
    <w:rsid w:val="00506E84"/>
    <w:rsid w:val="005914DC"/>
    <w:rsid w:val="005A2C1B"/>
    <w:rsid w:val="005B48BB"/>
    <w:rsid w:val="005C33C0"/>
    <w:rsid w:val="005F679C"/>
    <w:rsid w:val="00643384"/>
    <w:rsid w:val="00644654"/>
    <w:rsid w:val="00646AB5"/>
    <w:rsid w:val="00656309"/>
    <w:rsid w:val="00680C21"/>
    <w:rsid w:val="006F2D8E"/>
    <w:rsid w:val="00744F07"/>
    <w:rsid w:val="007E5CCA"/>
    <w:rsid w:val="0082788D"/>
    <w:rsid w:val="00837265"/>
    <w:rsid w:val="008A2B17"/>
    <w:rsid w:val="008B73F3"/>
    <w:rsid w:val="00927A36"/>
    <w:rsid w:val="00964188"/>
    <w:rsid w:val="009A4AE8"/>
    <w:rsid w:val="009B375D"/>
    <w:rsid w:val="00B1787F"/>
    <w:rsid w:val="00BD04F4"/>
    <w:rsid w:val="00BD6E06"/>
    <w:rsid w:val="00BF314D"/>
    <w:rsid w:val="00BF595F"/>
    <w:rsid w:val="00BF66D6"/>
    <w:rsid w:val="00C103A7"/>
    <w:rsid w:val="00CD51A0"/>
    <w:rsid w:val="00D00EF1"/>
    <w:rsid w:val="00D24BDC"/>
    <w:rsid w:val="00D71D89"/>
    <w:rsid w:val="00DF5BAB"/>
    <w:rsid w:val="00E107DF"/>
    <w:rsid w:val="00E70DB3"/>
    <w:rsid w:val="00E7109E"/>
    <w:rsid w:val="00E76D6B"/>
    <w:rsid w:val="00ED7B3A"/>
    <w:rsid w:val="00EE0A6F"/>
    <w:rsid w:val="00EE6A22"/>
    <w:rsid w:val="00FA1B27"/>
    <w:rsid w:val="00FA4962"/>
    <w:rsid w:val="00FD2BBD"/>
    <w:rsid w:val="00FD31B5"/>
    <w:rsid w:val="00FF631A"/>
    <w:rsid w:val="1CA12B8D"/>
    <w:rsid w:val="3C661423"/>
    <w:rsid w:val="3EEE5DDB"/>
    <w:rsid w:val="433D7B99"/>
    <w:rsid w:val="4C0C2C40"/>
    <w:rsid w:val="4C75017E"/>
    <w:rsid w:val="4FD37152"/>
    <w:rsid w:val="572825A0"/>
    <w:rsid w:val="63DF44DB"/>
    <w:rsid w:val="76E413EB"/>
  </w:rsids>
  <m:mathPr>
    <m:mathFont m:val="Cambria Math"/>
    <m:brkBin m:val="before"/>
    <m:brkBinSub m:val="--"/>
    <m:smallFrac m:val="0"/>
    <m:dispDef/>
    <m:lMargin m:val="0"/>
    <m:rMargin m:val="0"/>
    <m:defJc m:val="centerGroup"/>
    <m:wrapIndent m:val="1440"/>
    <m:intLim m:val="subSup"/>
    <m:naryLim m:val="undOvr"/>
  </m:mathPr>
  <w:themeFontLang w:val="es-PE"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s-PE" w:eastAsia="en-US" w:bidi="ar-SA"/>
      <w14:ligatures w14:val="standardContextual"/>
    </w:rPr>
  </w:style>
  <w:style w:type="paragraph" w:styleId="2">
    <w:name w:val="heading 1"/>
    <w:basedOn w:val="1"/>
    <w:next w:val="1"/>
    <w:link w:val="16"/>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7"/>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8"/>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19"/>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0"/>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1"/>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2"/>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3"/>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4"/>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Subtitle"/>
    <w:basedOn w:val="1"/>
    <w:next w:val="1"/>
    <w:link w:val="2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4">
    <w:name w:val="Table Grid"/>
    <w:basedOn w:val="12"/>
    <w:qFormat/>
    <w:uiPriority w:val="39"/>
    <w:pPr>
      <w:spacing w:after="0" w:line="240" w:lineRule="auto"/>
    </w:pPr>
    <w:rPr>
      <w:rFonts w:ascii="Calibri" w:hAnsi="Calibri" w:eastAsia="Times New Roman" w:cs="Times New Roman"/>
      <w:kern w:val="0"/>
      <w:sz w:val="20"/>
      <w:szCs w:val="20"/>
      <w:lang w:val="es-US" w:eastAsia="es-MX"/>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itle"/>
    <w:basedOn w:val="1"/>
    <w:next w:val="1"/>
    <w:link w:val="25"/>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6">
    <w:name w:val="Título 1 Car"/>
    <w:basedOn w:val="11"/>
    <w:link w:val="2"/>
    <w:qFormat/>
    <w:uiPriority w:val="9"/>
    <w:rPr>
      <w:rFonts w:asciiTheme="majorHAnsi" w:hAnsiTheme="majorHAnsi" w:eastAsiaTheme="majorEastAsia" w:cstheme="majorBidi"/>
      <w:color w:val="2F5597" w:themeColor="accent1" w:themeShade="BF"/>
      <w:sz w:val="40"/>
      <w:szCs w:val="40"/>
      <w:lang w:val="es-PE"/>
    </w:rPr>
  </w:style>
  <w:style w:type="character" w:customStyle="1" w:styleId="17">
    <w:name w:val="Título 2 Car"/>
    <w:basedOn w:val="11"/>
    <w:link w:val="3"/>
    <w:semiHidden/>
    <w:qFormat/>
    <w:uiPriority w:val="9"/>
    <w:rPr>
      <w:rFonts w:asciiTheme="majorHAnsi" w:hAnsiTheme="majorHAnsi" w:eastAsiaTheme="majorEastAsia" w:cstheme="majorBidi"/>
      <w:color w:val="2F5597" w:themeColor="accent1" w:themeShade="BF"/>
      <w:sz w:val="32"/>
      <w:szCs w:val="32"/>
      <w:lang w:val="es-PE"/>
    </w:rPr>
  </w:style>
  <w:style w:type="character" w:customStyle="1" w:styleId="18">
    <w:name w:val="Título 3 Car"/>
    <w:basedOn w:val="11"/>
    <w:link w:val="4"/>
    <w:semiHidden/>
    <w:qFormat/>
    <w:uiPriority w:val="9"/>
    <w:rPr>
      <w:rFonts w:eastAsiaTheme="majorEastAsia" w:cstheme="majorBidi"/>
      <w:color w:val="2F5597" w:themeColor="accent1" w:themeShade="BF"/>
      <w:sz w:val="28"/>
      <w:szCs w:val="28"/>
      <w:lang w:val="es-PE"/>
    </w:rPr>
  </w:style>
  <w:style w:type="character" w:customStyle="1" w:styleId="19">
    <w:name w:val="Título 4 Car"/>
    <w:basedOn w:val="11"/>
    <w:link w:val="5"/>
    <w:semiHidden/>
    <w:qFormat/>
    <w:uiPriority w:val="9"/>
    <w:rPr>
      <w:rFonts w:eastAsiaTheme="majorEastAsia" w:cstheme="majorBidi"/>
      <w:i/>
      <w:iCs/>
      <w:color w:val="2F5597" w:themeColor="accent1" w:themeShade="BF"/>
      <w:lang w:val="es-PE"/>
    </w:rPr>
  </w:style>
  <w:style w:type="character" w:customStyle="1" w:styleId="20">
    <w:name w:val="Título 5 Car"/>
    <w:basedOn w:val="11"/>
    <w:link w:val="6"/>
    <w:semiHidden/>
    <w:qFormat/>
    <w:uiPriority w:val="9"/>
    <w:rPr>
      <w:rFonts w:eastAsiaTheme="majorEastAsia" w:cstheme="majorBidi"/>
      <w:color w:val="2F5597" w:themeColor="accent1" w:themeShade="BF"/>
      <w:lang w:val="es-PE"/>
    </w:rPr>
  </w:style>
  <w:style w:type="character" w:customStyle="1" w:styleId="21">
    <w:name w:val="Título 6 Car"/>
    <w:basedOn w:val="11"/>
    <w:link w:val="7"/>
    <w:semiHidden/>
    <w:qFormat/>
    <w:uiPriority w:val="9"/>
    <w:rPr>
      <w:rFonts w:eastAsiaTheme="majorEastAsia" w:cstheme="majorBidi"/>
      <w:i/>
      <w:iCs/>
      <w:color w:val="595959" w:themeColor="text1" w:themeTint="A6"/>
      <w:lang w:val="es-PE"/>
      <w14:textFill>
        <w14:solidFill>
          <w14:schemeClr w14:val="tx1">
            <w14:lumMod w14:val="65000"/>
            <w14:lumOff w14:val="35000"/>
          </w14:schemeClr>
        </w14:solidFill>
      </w14:textFill>
    </w:rPr>
  </w:style>
  <w:style w:type="character" w:customStyle="1" w:styleId="22">
    <w:name w:val="Título 7 Car"/>
    <w:basedOn w:val="11"/>
    <w:link w:val="8"/>
    <w:semiHidden/>
    <w:qFormat/>
    <w:uiPriority w:val="9"/>
    <w:rPr>
      <w:rFonts w:eastAsiaTheme="majorEastAsia" w:cstheme="majorBidi"/>
      <w:color w:val="595959" w:themeColor="text1" w:themeTint="A6"/>
      <w:lang w:val="es-PE"/>
      <w14:textFill>
        <w14:solidFill>
          <w14:schemeClr w14:val="tx1">
            <w14:lumMod w14:val="65000"/>
            <w14:lumOff w14:val="35000"/>
          </w14:schemeClr>
        </w14:solidFill>
      </w14:textFill>
    </w:rPr>
  </w:style>
  <w:style w:type="character" w:customStyle="1" w:styleId="23">
    <w:name w:val="Título 8 Car"/>
    <w:basedOn w:val="11"/>
    <w:link w:val="9"/>
    <w:semiHidden/>
    <w:qFormat/>
    <w:uiPriority w:val="9"/>
    <w:rPr>
      <w:rFonts w:eastAsiaTheme="majorEastAsia" w:cstheme="majorBidi"/>
      <w:i/>
      <w:iCs/>
      <w:color w:val="262626" w:themeColor="text1" w:themeTint="D9"/>
      <w:lang w:val="es-PE"/>
      <w14:textFill>
        <w14:solidFill>
          <w14:schemeClr w14:val="tx1">
            <w14:lumMod w14:val="85000"/>
            <w14:lumOff w14:val="15000"/>
          </w14:schemeClr>
        </w14:solidFill>
      </w14:textFill>
    </w:rPr>
  </w:style>
  <w:style w:type="character" w:customStyle="1" w:styleId="24">
    <w:name w:val="Título 9 Car"/>
    <w:basedOn w:val="11"/>
    <w:link w:val="10"/>
    <w:semiHidden/>
    <w:qFormat/>
    <w:uiPriority w:val="9"/>
    <w:rPr>
      <w:rFonts w:eastAsiaTheme="majorEastAsia" w:cstheme="majorBidi"/>
      <w:color w:val="262626" w:themeColor="text1" w:themeTint="D9"/>
      <w:lang w:val="es-PE"/>
      <w14:textFill>
        <w14:solidFill>
          <w14:schemeClr w14:val="tx1">
            <w14:lumMod w14:val="85000"/>
            <w14:lumOff w14:val="15000"/>
          </w14:schemeClr>
        </w14:solidFill>
      </w14:textFill>
    </w:rPr>
  </w:style>
  <w:style w:type="character" w:customStyle="1" w:styleId="25">
    <w:name w:val="Título Car"/>
    <w:basedOn w:val="11"/>
    <w:link w:val="15"/>
    <w:qFormat/>
    <w:uiPriority w:val="10"/>
    <w:rPr>
      <w:rFonts w:asciiTheme="majorHAnsi" w:hAnsiTheme="majorHAnsi" w:eastAsiaTheme="majorEastAsia" w:cstheme="majorBidi"/>
      <w:spacing w:val="-10"/>
      <w:kern w:val="28"/>
      <w:sz w:val="56"/>
      <w:szCs w:val="56"/>
      <w:lang w:val="es-PE"/>
    </w:rPr>
  </w:style>
  <w:style w:type="character" w:customStyle="1" w:styleId="26">
    <w:name w:val="Subtítulo Car"/>
    <w:basedOn w:val="11"/>
    <w:link w:val="13"/>
    <w:qFormat/>
    <w:uiPriority w:val="11"/>
    <w:rPr>
      <w:rFonts w:eastAsiaTheme="majorEastAsia" w:cstheme="majorBidi"/>
      <w:color w:val="595959" w:themeColor="text1" w:themeTint="A6"/>
      <w:spacing w:val="15"/>
      <w:sz w:val="28"/>
      <w:szCs w:val="28"/>
      <w:lang w:val="es-PE"/>
      <w14:textFill>
        <w14:solidFill>
          <w14:schemeClr w14:val="tx1">
            <w14:lumMod w14:val="65000"/>
            <w14:lumOff w14:val="35000"/>
          </w14:schemeClr>
        </w14:solidFill>
      </w14:textFill>
    </w:rPr>
  </w:style>
  <w:style w:type="paragraph" w:styleId="27">
    <w:name w:val="Quote"/>
    <w:basedOn w:val="1"/>
    <w:next w:val="1"/>
    <w:link w:val="28"/>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8">
    <w:name w:val="Cita Car"/>
    <w:basedOn w:val="11"/>
    <w:link w:val="27"/>
    <w:qFormat/>
    <w:uiPriority w:val="29"/>
    <w:rPr>
      <w:i/>
      <w:iCs/>
      <w:color w:val="404040" w:themeColor="text1" w:themeTint="BF"/>
      <w:lang w:val="es-PE"/>
      <w14:textFill>
        <w14:solidFill>
          <w14:schemeClr w14:val="tx1">
            <w14:lumMod w14:val="75000"/>
            <w14:lumOff w14:val="25000"/>
          </w14:schemeClr>
        </w14:solidFill>
      </w14:textFill>
    </w:rPr>
  </w:style>
  <w:style w:type="paragraph" w:styleId="29">
    <w:name w:val="List Paragraph"/>
    <w:basedOn w:val="1"/>
    <w:qFormat/>
    <w:uiPriority w:val="34"/>
    <w:pPr>
      <w:ind w:left="720"/>
      <w:contextualSpacing/>
    </w:pPr>
  </w:style>
  <w:style w:type="character" w:customStyle="1" w:styleId="30">
    <w:name w:val="Intense Emphasis"/>
    <w:basedOn w:val="11"/>
    <w:qFormat/>
    <w:uiPriority w:val="21"/>
    <w:rPr>
      <w:i/>
      <w:iCs/>
      <w:color w:val="2F5597" w:themeColor="accent1" w:themeShade="BF"/>
    </w:rPr>
  </w:style>
  <w:style w:type="paragraph" w:styleId="31">
    <w:name w:val="Intense Quote"/>
    <w:basedOn w:val="1"/>
    <w:next w:val="1"/>
    <w:link w:val="32"/>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2">
    <w:name w:val="Cita destacada Car"/>
    <w:basedOn w:val="11"/>
    <w:link w:val="31"/>
    <w:qFormat/>
    <w:uiPriority w:val="30"/>
    <w:rPr>
      <w:i/>
      <w:iCs/>
      <w:color w:val="2F5597" w:themeColor="accent1" w:themeShade="BF"/>
      <w:lang w:val="es-PE"/>
    </w:rPr>
  </w:style>
  <w:style w:type="character" w:customStyle="1" w:styleId="33">
    <w:name w:val="Intense Reference"/>
    <w:basedOn w:val="11"/>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2961</Words>
  <Characters>16289</Characters>
  <Lines>135</Lines>
  <Paragraphs>38</Paragraphs>
  <TotalTime>93</TotalTime>
  <ScaleCrop>false</ScaleCrop>
  <LinksUpToDate>false</LinksUpToDate>
  <CharactersWithSpaces>19212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2025-09-10T20:18:00Z</dcterms:created>
  <dc:creator>LENOVO</dc:creator>
  <cp:lastModifiedBy>usuario</cp:lastModifiedBy>
  <cp:lastPrinted>2026-02-13T16:11:52Z</cp:lastPrinted>
  <dcterms:modified xsi:type="dcterms:W3CDTF">2026-02-16T15:21:26Z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78EBE8BB64D44612B5FF50F0B84EB799_13</vt:lpwstr>
  </property>
</Properties>
</file>