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6A61048E" w:rsidR="00E90A5B" w:rsidRPr="00E90A5B" w:rsidRDefault="00E90A5B" w:rsidP="00E90A5B">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eastAsia="en-US"/>
        </w:rPr>
        <w:t xml:space="preserve">PRECIOS UNITARIOS: </w:t>
      </w: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4390"/>
        <w:gridCol w:w="1134"/>
        <w:gridCol w:w="1450"/>
        <w:gridCol w:w="2326"/>
      </w:tblGrid>
      <w:tr w:rsidR="00E90A5B" w:rsidRPr="00E90A5B" w14:paraId="118660CA" w14:textId="77777777" w:rsidTr="00E60D4B">
        <w:trPr>
          <w:trHeight w:val="349"/>
          <w:jc w:val="center"/>
        </w:trPr>
        <w:tc>
          <w:tcPr>
            <w:tcW w:w="4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14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64F21F65" w14:textId="77777777" w:rsidTr="00E60D4B">
        <w:trPr>
          <w:trHeight w:val="386"/>
          <w:jc w:val="center"/>
        </w:trPr>
        <w:tc>
          <w:tcPr>
            <w:tcW w:w="4390" w:type="dxa"/>
            <w:tcBorders>
              <w:top w:val="single" w:sz="4" w:space="0" w:color="auto"/>
              <w:left w:val="single" w:sz="4" w:space="0" w:color="auto"/>
              <w:bottom w:val="single" w:sz="4" w:space="0" w:color="auto"/>
              <w:right w:val="single" w:sz="4" w:space="0" w:color="auto"/>
            </w:tcBorders>
            <w:vAlign w:val="center"/>
          </w:tcPr>
          <w:p w14:paraId="6B3BD303" w14:textId="4F1DDAAE" w:rsidR="00E90A5B" w:rsidRPr="00E90A5B" w:rsidRDefault="00A006C8" w:rsidP="004B3388">
            <w:pPr>
              <w:widowControl w:val="0"/>
              <w:jc w:val="both"/>
              <w:rPr>
                <w:rFonts w:ascii="Arial" w:eastAsia="Times New Roman" w:hAnsi="Arial" w:cs="Arial"/>
                <w:b/>
                <w:bCs/>
                <w:color w:val="000000" w:themeColor="text1"/>
                <w:sz w:val="18"/>
                <w:lang w:eastAsia="en-US"/>
              </w:rPr>
            </w:pPr>
            <w:r w:rsidRPr="00A006C8">
              <w:rPr>
                <w:rFonts w:ascii="Arial" w:eastAsia="Times New Roman" w:hAnsi="Arial" w:cs="Arial"/>
                <w:b/>
                <w:bCs/>
                <w:color w:val="000000" w:themeColor="text1"/>
                <w:sz w:val="18"/>
                <w:lang w:eastAsia="en-US"/>
              </w:rPr>
              <w:t>Servicio de tasación</w:t>
            </w:r>
            <w:r w:rsidR="004B3388">
              <w:rPr>
                <w:rFonts w:ascii="Arial" w:eastAsia="Times New Roman" w:hAnsi="Arial" w:cs="Arial"/>
                <w:b/>
                <w:bCs/>
                <w:color w:val="000000" w:themeColor="text1"/>
                <w:sz w:val="18"/>
                <w:lang w:eastAsia="en-US"/>
              </w:rPr>
              <w:t xml:space="preserve"> </w:t>
            </w:r>
            <w:r w:rsidR="004B3388" w:rsidRPr="004B3388">
              <w:rPr>
                <w:rFonts w:ascii="Arial" w:eastAsia="Times New Roman" w:hAnsi="Arial" w:cs="Arial"/>
                <w:b/>
                <w:bCs/>
                <w:color w:val="000000" w:themeColor="text1"/>
                <w:sz w:val="18"/>
                <w:lang w:eastAsia="en-US"/>
              </w:rPr>
              <w:t>de predios ubicados en los distritos de San Borja, pertenecientes a la provincia de Lima, según detalle adjunto.</w:t>
            </w:r>
          </w:p>
        </w:tc>
        <w:tc>
          <w:tcPr>
            <w:tcW w:w="1134" w:type="dxa"/>
            <w:tcBorders>
              <w:top w:val="single" w:sz="4" w:space="0" w:color="auto"/>
              <w:left w:val="single" w:sz="4" w:space="0" w:color="auto"/>
              <w:bottom w:val="single" w:sz="4" w:space="0" w:color="auto"/>
              <w:right w:val="single" w:sz="4" w:space="0" w:color="auto"/>
            </w:tcBorders>
            <w:vAlign w:val="center"/>
          </w:tcPr>
          <w:p w14:paraId="711B0BAE" w14:textId="0A6F2A7C" w:rsidR="00E90A5B" w:rsidRPr="00E90A5B" w:rsidRDefault="001E7364"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450"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90A5B" w:rsidRDefault="00E90A5B"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r w:rsidR="00F26A19" w:rsidRPr="00E90A5B" w14:paraId="6738A261" w14:textId="77777777" w:rsidTr="00E60D4B">
        <w:trPr>
          <w:trHeight w:val="386"/>
          <w:jc w:val="center"/>
        </w:trPr>
        <w:tc>
          <w:tcPr>
            <w:tcW w:w="4390" w:type="dxa"/>
            <w:tcBorders>
              <w:top w:val="single" w:sz="4" w:space="0" w:color="auto"/>
              <w:left w:val="single" w:sz="4" w:space="0" w:color="auto"/>
              <w:bottom w:val="single" w:sz="4" w:space="0" w:color="auto"/>
              <w:right w:val="single" w:sz="4" w:space="0" w:color="auto"/>
            </w:tcBorders>
            <w:vAlign w:val="center"/>
          </w:tcPr>
          <w:p w14:paraId="02AD53B1" w14:textId="72A243BC" w:rsidR="00F26A19" w:rsidRPr="00A006C8" w:rsidRDefault="00F26A19" w:rsidP="00F26A19">
            <w:pPr>
              <w:widowControl w:val="0"/>
              <w:jc w:val="both"/>
              <w:rPr>
                <w:rFonts w:ascii="Arial" w:eastAsia="Times New Roman" w:hAnsi="Arial" w:cs="Arial"/>
                <w:b/>
                <w:bCs/>
                <w:color w:val="000000" w:themeColor="text1"/>
                <w:sz w:val="18"/>
                <w:lang w:eastAsia="en-US"/>
              </w:rPr>
            </w:pPr>
            <w:r w:rsidRPr="00A006C8">
              <w:rPr>
                <w:rFonts w:ascii="Arial" w:eastAsia="Times New Roman" w:hAnsi="Arial" w:cs="Arial"/>
                <w:b/>
                <w:bCs/>
                <w:color w:val="000000" w:themeColor="text1"/>
                <w:sz w:val="18"/>
                <w:lang w:eastAsia="en-US"/>
              </w:rPr>
              <w:t>Servicio de tasación</w:t>
            </w:r>
            <w:r>
              <w:rPr>
                <w:rFonts w:ascii="Arial" w:eastAsia="Times New Roman" w:hAnsi="Arial" w:cs="Arial"/>
                <w:b/>
                <w:bCs/>
                <w:color w:val="000000" w:themeColor="text1"/>
                <w:sz w:val="18"/>
                <w:lang w:eastAsia="en-US"/>
              </w:rPr>
              <w:t xml:space="preserve"> </w:t>
            </w:r>
            <w:r w:rsidRPr="004B3388">
              <w:rPr>
                <w:rFonts w:ascii="Arial" w:eastAsia="Times New Roman" w:hAnsi="Arial" w:cs="Arial"/>
                <w:b/>
                <w:bCs/>
                <w:color w:val="000000" w:themeColor="text1"/>
                <w:sz w:val="18"/>
                <w:lang w:eastAsia="en-US"/>
              </w:rPr>
              <w:t>de predios ubicados en los distritos de Cercado de Lima, pertenecientes a la provincia de Lima, según detalle adjunto.</w:t>
            </w:r>
          </w:p>
        </w:tc>
        <w:tc>
          <w:tcPr>
            <w:tcW w:w="1134" w:type="dxa"/>
            <w:tcBorders>
              <w:top w:val="single" w:sz="4" w:space="0" w:color="auto"/>
              <w:left w:val="single" w:sz="4" w:space="0" w:color="auto"/>
              <w:bottom w:val="single" w:sz="4" w:space="0" w:color="auto"/>
              <w:right w:val="single" w:sz="4" w:space="0" w:color="auto"/>
            </w:tcBorders>
            <w:vAlign w:val="center"/>
          </w:tcPr>
          <w:p w14:paraId="4E7055E9" w14:textId="32B1B147" w:rsidR="00F26A19" w:rsidRDefault="001E7364" w:rsidP="00F26A19">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450" w:type="dxa"/>
            <w:tcBorders>
              <w:top w:val="single" w:sz="4" w:space="0" w:color="auto"/>
              <w:left w:val="single" w:sz="4" w:space="0" w:color="auto"/>
              <w:bottom w:val="single" w:sz="4" w:space="0" w:color="auto"/>
              <w:right w:val="single" w:sz="4" w:space="0" w:color="auto"/>
            </w:tcBorders>
            <w:vAlign w:val="center"/>
          </w:tcPr>
          <w:p w14:paraId="469CB6B8" w14:textId="77777777" w:rsidR="00F26A19" w:rsidRPr="00E90A5B" w:rsidRDefault="00F26A19" w:rsidP="00F26A19">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051A90FB" w14:textId="77777777" w:rsidR="00F26A19" w:rsidRPr="00E90A5B" w:rsidRDefault="00F26A19" w:rsidP="00F26A19">
            <w:pPr>
              <w:widowControl w:val="0"/>
              <w:jc w:val="both"/>
              <w:rPr>
                <w:rFonts w:ascii="Arial" w:eastAsia="Times New Roman" w:hAnsi="Arial" w:cs="Arial"/>
                <w:b/>
                <w:bCs/>
                <w:color w:val="000000" w:themeColor="text1"/>
                <w:sz w:val="18"/>
                <w:lang w:val="es-ES" w:eastAsia="en-US"/>
              </w:rPr>
            </w:pPr>
          </w:p>
        </w:tc>
      </w:tr>
      <w:tr w:rsidR="00F26A19" w:rsidRPr="00E90A5B" w14:paraId="468DBA68" w14:textId="77777777" w:rsidTr="00E60D4B">
        <w:trPr>
          <w:trHeight w:val="386"/>
          <w:jc w:val="center"/>
        </w:trPr>
        <w:tc>
          <w:tcPr>
            <w:tcW w:w="4390" w:type="dxa"/>
            <w:tcBorders>
              <w:top w:val="single" w:sz="4" w:space="0" w:color="auto"/>
              <w:left w:val="single" w:sz="4" w:space="0" w:color="auto"/>
              <w:bottom w:val="single" w:sz="4" w:space="0" w:color="auto"/>
              <w:right w:val="single" w:sz="4" w:space="0" w:color="auto"/>
            </w:tcBorders>
            <w:vAlign w:val="center"/>
          </w:tcPr>
          <w:p w14:paraId="2345489C" w14:textId="60830B59" w:rsidR="00F26A19" w:rsidRPr="00A006C8" w:rsidRDefault="00F26A19" w:rsidP="00F26A19">
            <w:pPr>
              <w:widowControl w:val="0"/>
              <w:jc w:val="both"/>
              <w:rPr>
                <w:rFonts w:ascii="Arial" w:eastAsia="Times New Roman" w:hAnsi="Arial" w:cs="Arial"/>
                <w:b/>
                <w:bCs/>
                <w:color w:val="000000" w:themeColor="text1"/>
                <w:sz w:val="18"/>
                <w:lang w:eastAsia="en-US"/>
              </w:rPr>
            </w:pPr>
            <w:r w:rsidRPr="00A006C8">
              <w:rPr>
                <w:rFonts w:ascii="Arial" w:eastAsia="Times New Roman" w:hAnsi="Arial" w:cs="Arial"/>
                <w:b/>
                <w:bCs/>
                <w:color w:val="000000" w:themeColor="text1"/>
                <w:sz w:val="18"/>
                <w:lang w:eastAsia="en-US"/>
              </w:rPr>
              <w:t>Servicio de tasación</w:t>
            </w:r>
            <w:r>
              <w:rPr>
                <w:rFonts w:ascii="Arial" w:eastAsia="Times New Roman" w:hAnsi="Arial" w:cs="Arial"/>
                <w:b/>
                <w:bCs/>
                <w:color w:val="000000" w:themeColor="text1"/>
                <w:sz w:val="18"/>
                <w:lang w:eastAsia="en-US"/>
              </w:rPr>
              <w:t xml:space="preserve"> </w:t>
            </w:r>
            <w:r w:rsidRPr="004B3388">
              <w:rPr>
                <w:rFonts w:ascii="Arial" w:eastAsia="Times New Roman" w:hAnsi="Arial" w:cs="Arial"/>
                <w:b/>
                <w:bCs/>
                <w:color w:val="000000" w:themeColor="text1"/>
                <w:sz w:val="18"/>
                <w:lang w:eastAsia="en-US"/>
              </w:rPr>
              <w:t>de predios ubicados en los distritos de San Miguel, pertenecientes a la provincia de Lima, según detalle adjunto.</w:t>
            </w:r>
          </w:p>
        </w:tc>
        <w:tc>
          <w:tcPr>
            <w:tcW w:w="1134" w:type="dxa"/>
            <w:tcBorders>
              <w:top w:val="single" w:sz="4" w:space="0" w:color="auto"/>
              <w:left w:val="single" w:sz="4" w:space="0" w:color="auto"/>
              <w:bottom w:val="single" w:sz="4" w:space="0" w:color="auto"/>
              <w:right w:val="single" w:sz="4" w:space="0" w:color="auto"/>
            </w:tcBorders>
            <w:vAlign w:val="center"/>
          </w:tcPr>
          <w:p w14:paraId="33FF48BD" w14:textId="65EAB3A1" w:rsidR="00F26A19" w:rsidRDefault="001E7364" w:rsidP="00F26A19">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450" w:type="dxa"/>
            <w:tcBorders>
              <w:top w:val="single" w:sz="4" w:space="0" w:color="auto"/>
              <w:left w:val="single" w:sz="4" w:space="0" w:color="auto"/>
              <w:bottom w:val="single" w:sz="4" w:space="0" w:color="auto"/>
              <w:right w:val="single" w:sz="4" w:space="0" w:color="auto"/>
            </w:tcBorders>
            <w:vAlign w:val="center"/>
          </w:tcPr>
          <w:p w14:paraId="639639BF" w14:textId="77777777" w:rsidR="00F26A19" w:rsidRPr="00E90A5B" w:rsidRDefault="00F26A19" w:rsidP="00F26A19">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15325258" w14:textId="77777777" w:rsidR="00F26A19" w:rsidRPr="00E90A5B" w:rsidRDefault="00F26A19" w:rsidP="00F26A19">
            <w:pPr>
              <w:widowControl w:val="0"/>
              <w:jc w:val="both"/>
              <w:rPr>
                <w:rFonts w:ascii="Arial" w:eastAsia="Times New Roman" w:hAnsi="Arial" w:cs="Arial"/>
                <w:b/>
                <w:bCs/>
                <w:color w:val="000000" w:themeColor="text1"/>
                <w:sz w:val="18"/>
                <w:lang w:val="es-ES" w:eastAsia="en-US"/>
              </w:rPr>
            </w:pPr>
          </w:p>
        </w:tc>
      </w:tr>
      <w:tr w:rsidR="00F26A19" w:rsidRPr="00E90A5B" w14:paraId="363DFDDD" w14:textId="77777777" w:rsidTr="00E60D4B">
        <w:trPr>
          <w:trHeight w:val="386"/>
          <w:jc w:val="center"/>
        </w:trPr>
        <w:tc>
          <w:tcPr>
            <w:tcW w:w="4390" w:type="dxa"/>
            <w:tcBorders>
              <w:top w:val="single" w:sz="4" w:space="0" w:color="auto"/>
              <w:left w:val="single" w:sz="4" w:space="0" w:color="auto"/>
              <w:bottom w:val="single" w:sz="4" w:space="0" w:color="auto"/>
              <w:right w:val="single" w:sz="4" w:space="0" w:color="auto"/>
            </w:tcBorders>
            <w:vAlign w:val="center"/>
          </w:tcPr>
          <w:p w14:paraId="7C7F564D" w14:textId="1E573A30" w:rsidR="00F26A19" w:rsidRPr="00A006C8" w:rsidRDefault="00F26A19" w:rsidP="00F26A19">
            <w:pPr>
              <w:widowControl w:val="0"/>
              <w:jc w:val="both"/>
              <w:rPr>
                <w:rFonts w:ascii="Arial" w:eastAsia="Times New Roman" w:hAnsi="Arial" w:cs="Arial"/>
                <w:b/>
                <w:bCs/>
                <w:color w:val="000000" w:themeColor="text1"/>
                <w:sz w:val="18"/>
                <w:lang w:eastAsia="en-US"/>
              </w:rPr>
            </w:pPr>
            <w:r w:rsidRPr="00A006C8">
              <w:rPr>
                <w:rFonts w:ascii="Arial" w:eastAsia="Times New Roman" w:hAnsi="Arial" w:cs="Arial"/>
                <w:b/>
                <w:bCs/>
                <w:color w:val="000000" w:themeColor="text1"/>
                <w:sz w:val="18"/>
                <w:lang w:eastAsia="en-US"/>
              </w:rPr>
              <w:t>Servicio de tasación</w:t>
            </w:r>
            <w:r>
              <w:rPr>
                <w:rFonts w:ascii="Arial" w:eastAsia="Times New Roman" w:hAnsi="Arial" w:cs="Arial"/>
                <w:b/>
                <w:bCs/>
                <w:color w:val="000000" w:themeColor="text1"/>
                <w:sz w:val="18"/>
                <w:lang w:eastAsia="en-US"/>
              </w:rPr>
              <w:t xml:space="preserve"> </w:t>
            </w:r>
            <w:r w:rsidRPr="004B3388">
              <w:rPr>
                <w:rFonts w:ascii="Arial" w:eastAsia="Times New Roman" w:hAnsi="Arial" w:cs="Arial"/>
                <w:b/>
                <w:bCs/>
                <w:color w:val="000000" w:themeColor="text1"/>
                <w:sz w:val="18"/>
                <w:lang w:eastAsia="en-US"/>
              </w:rPr>
              <w:t>de predios ubicados en los distritos de San Isidro, pertenecientes a la provincia de Lima, según detalle adjunto.</w:t>
            </w:r>
          </w:p>
        </w:tc>
        <w:tc>
          <w:tcPr>
            <w:tcW w:w="1134" w:type="dxa"/>
            <w:tcBorders>
              <w:top w:val="single" w:sz="4" w:space="0" w:color="auto"/>
              <w:left w:val="single" w:sz="4" w:space="0" w:color="auto"/>
              <w:bottom w:val="single" w:sz="4" w:space="0" w:color="auto"/>
              <w:right w:val="single" w:sz="4" w:space="0" w:color="auto"/>
            </w:tcBorders>
            <w:vAlign w:val="center"/>
          </w:tcPr>
          <w:p w14:paraId="3C1EBCDD" w14:textId="77FA0239" w:rsidR="00F26A19" w:rsidRDefault="001E7364" w:rsidP="00F26A19">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450" w:type="dxa"/>
            <w:tcBorders>
              <w:top w:val="single" w:sz="4" w:space="0" w:color="auto"/>
              <w:left w:val="single" w:sz="4" w:space="0" w:color="auto"/>
              <w:bottom w:val="single" w:sz="4" w:space="0" w:color="auto"/>
              <w:right w:val="single" w:sz="4" w:space="0" w:color="auto"/>
            </w:tcBorders>
            <w:vAlign w:val="center"/>
          </w:tcPr>
          <w:p w14:paraId="02402B8D" w14:textId="77777777" w:rsidR="00F26A19" w:rsidRPr="00E90A5B" w:rsidRDefault="00F26A19" w:rsidP="00F26A19">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72D37BB7" w14:textId="77777777" w:rsidR="00F26A19" w:rsidRPr="00E90A5B" w:rsidRDefault="00F26A19" w:rsidP="00F26A19">
            <w:pPr>
              <w:widowControl w:val="0"/>
              <w:jc w:val="both"/>
              <w:rPr>
                <w:rFonts w:ascii="Arial" w:eastAsia="Times New Roman" w:hAnsi="Arial" w:cs="Arial"/>
                <w:b/>
                <w:bCs/>
                <w:color w:val="000000" w:themeColor="text1"/>
                <w:sz w:val="18"/>
                <w:lang w:val="es-ES" w:eastAsia="en-US"/>
              </w:rPr>
            </w:pPr>
          </w:p>
        </w:tc>
      </w:tr>
      <w:tr w:rsidR="00F26A19" w:rsidRPr="00E90A5B" w14:paraId="5F6FDC8F" w14:textId="77777777" w:rsidTr="00E60D4B">
        <w:trPr>
          <w:trHeight w:val="386"/>
          <w:jc w:val="center"/>
        </w:trPr>
        <w:tc>
          <w:tcPr>
            <w:tcW w:w="4390" w:type="dxa"/>
            <w:tcBorders>
              <w:top w:val="single" w:sz="4" w:space="0" w:color="auto"/>
              <w:left w:val="single" w:sz="4" w:space="0" w:color="auto"/>
              <w:bottom w:val="single" w:sz="4" w:space="0" w:color="auto"/>
              <w:right w:val="single" w:sz="4" w:space="0" w:color="auto"/>
            </w:tcBorders>
            <w:vAlign w:val="center"/>
          </w:tcPr>
          <w:p w14:paraId="4F02A7FE" w14:textId="76418CDF" w:rsidR="00F26A19" w:rsidRPr="00A006C8" w:rsidRDefault="00F26A19" w:rsidP="00F26A19">
            <w:pPr>
              <w:widowControl w:val="0"/>
              <w:jc w:val="both"/>
              <w:rPr>
                <w:rFonts w:ascii="Arial" w:eastAsia="Times New Roman" w:hAnsi="Arial" w:cs="Arial"/>
                <w:b/>
                <w:bCs/>
                <w:color w:val="000000" w:themeColor="text1"/>
                <w:sz w:val="18"/>
                <w:lang w:eastAsia="en-US"/>
              </w:rPr>
            </w:pPr>
            <w:r w:rsidRPr="00104EF1">
              <w:rPr>
                <w:rFonts w:ascii="Arial" w:eastAsia="Times New Roman" w:hAnsi="Arial" w:cs="Arial"/>
                <w:b/>
                <w:bCs/>
                <w:color w:val="000000" w:themeColor="text1"/>
                <w:sz w:val="18"/>
                <w:lang w:eastAsia="en-US"/>
              </w:rPr>
              <w:t>Servicio de tasación de predio ubicado en el distrito y provincia de Cajabamba, departamento de Cajamarca, según detalle adjunto.</w:t>
            </w:r>
          </w:p>
        </w:tc>
        <w:tc>
          <w:tcPr>
            <w:tcW w:w="1134" w:type="dxa"/>
            <w:tcBorders>
              <w:top w:val="single" w:sz="4" w:space="0" w:color="auto"/>
              <w:left w:val="single" w:sz="4" w:space="0" w:color="auto"/>
              <w:bottom w:val="single" w:sz="4" w:space="0" w:color="auto"/>
              <w:right w:val="single" w:sz="4" w:space="0" w:color="auto"/>
            </w:tcBorders>
            <w:vAlign w:val="center"/>
          </w:tcPr>
          <w:p w14:paraId="33F394E4" w14:textId="4BC63B26" w:rsidR="00F26A19" w:rsidRDefault="00F26A19" w:rsidP="00F26A19">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450" w:type="dxa"/>
            <w:tcBorders>
              <w:top w:val="single" w:sz="4" w:space="0" w:color="auto"/>
              <w:left w:val="single" w:sz="4" w:space="0" w:color="auto"/>
              <w:bottom w:val="single" w:sz="4" w:space="0" w:color="auto"/>
              <w:right w:val="single" w:sz="4" w:space="0" w:color="auto"/>
            </w:tcBorders>
            <w:vAlign w:val="center"/>
          </w:tcPr>
          <w:p w14:paraId="22A3AB99" w14:textId="77777777" w:rsidR="00F26A19" w:rsidRPr="00E90A5B" w:rsidRDefault="00F26A19" w:rsidP="00F26A19">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7BFACBF8" w14:textId="77777777" w:rsidR="00F26A19" w:rsidRPr="00E90A5B" w:rsidRDefault="00F26A19" w:rsidP="00F26A19">
            <w:pPr>
              <w:widowControl w:val="0"/>
              <w:jc w:val="both"/>
              <w:rPr>
                <w:rFonts w:ascii="Arial" w:eastAsia="Times New Roman" w:hAnsi="Arial" w:cs="Arial"/>
                <w:b/>
                <w:bCs/>
                <w:color w:val="000000" w:themeColor="text1"/>
                <w:sz w:val="18"/>
                <w:lang w:val="es-ES" w:eastAsia="en-US"/>
              </w:rPr>
            </w:pPr>
          </w:p>
        </w:tc>
      </w:tr>
      <w:tr w:rsidR="00F26A19" w:rsidRPr="00E90A5B" w14:paraId="6F9F02D1" w14:textId="77777777" w:rsidTr="004B3388">
        <w:trPr>
          <w:trHeight w:val="386"/>
          <w:jc w:val="center"/>
        </w:trPr>
        <w:tc>
          <w:tcPr>
            <w:tcW w:w="6974"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F26A19" w:rsidRPr="00E90A5B" w:rsidRDefault="00F26A19" w:rsidP="00F26A19">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6" w:type="dxa"/>
            <w:tcBorders>
              <w:top w:val="single" w:sz="4" w:space="0" w:color="auto"/>
              <w:left w:val="single" w:sz="4" w:space="0" w:color="auto"/>
              <w:bottom w:val="single" w:sz="4" w:space="0" w:color="auto"/>
              <w:right w:val="single" w:sz="4" w:space="0" w:color="auto"/>
            </w:tcBorders>
            <w:vAlign w:val="center"/>
          </w:tcPr>
          <w:p w14:paraId="4223B9E3" w14:textId="77777777" w:rsidR="00F26A19" w:rsidRPr="00E90A5B" w:rsidRDefault="00F26A19" w:rsidP="00F26A19">
            <w:pPr>
              <w:widowControl w:val="0"/>
              <w:jc w:val="both"/>
              <w:rPr>
                <w:rFonts w:ascii="Arial" w:eastAsia="Times New Roman" w:hAnsi="Arial" w:cs="Arial"/>
                <w:b/>
                <w:bCs/>
                <w:color w:val="000000" w:themeColor="text1"/>
                <w:sz w:val="18"/>
                <w:lang w:val="es-ES" w:eastAsia="en-US"/>
              </w:rPr>
            </w:pP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3D3C483"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4A6B2B">
        <w:rPr>
          <w:rFonts w:ascii="Arial" w:hAnsi="Arial" w:cs="Arial"/>
          <w:sz w:val="20"/>
        </w:rPr>
        <w:t>(</w:t>
      </w:r>
      <w:r w:rsidR="004A6B2B" w:rsidRPr="008A745E">
        <w:rPr>
          <w:rFonts w:ascii="Arial" w:hAnsi="Arial" w:cs="Arial"/>
          <w:i/>
          <w:iCs/>
          <w:color w:val="EE0000"/>
          <w:sz w:val="20"/>
        </w:rPr>
        <w:t xml:space="preserve">indicar </w:t>
      </w:r>
      <w:r w:rsidR="00AE3974" w:rsidRPr="008A745E">
        <w:rPr>
          <w:rFonts w:ascii="Arial" w:hAnsi="Arial" w:cs="Arial"/>
          <w:i/>
          <w:iCs/>
          <w:color w:val="EE0000"/>
          <w:sz w:val="20"/>
        </w:rPr>
        <w:t>moneda</w:t>
      </w:r>
      <w:r w:rsidR="00AE3974">
        <w:rPr>
          <w:rFonts w:ascii="Arial" w:hAnsi="Arial" w:cs="Arial"/>
          <w:sz w:val="20"/>
        </w:rPr>
        <w:t>)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45B0D2" w14:textId="77777777" w:rsidR="00FA120E" w:rsidRDefault="00FA120E">
      <w:r>
        <w:separator/>
      </w:r>
    </w:p>
  </w:endnote>
  <w:endnote w:type="continuationSeparator" w:id="0">
    <w:p w14:paraId="44F67511" w14:textId="77777777" w:rsidR="00FA120E" w:rsidRDefault="00FA1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9E9D91" w14:textId="77777777" w:rsidR="00FA120E" w:rsidRDefault="00FA120E">
      <w:r>
        <w:separator/>
      </w:r>
    </w:p>
  </w:footnote>
  <w:footnote w:type="continuationSeparator" w:id="0">
    <w:p w14:paraId="3614B760" w14:textId="77777777" w:rsidR="00FA120E" w:rsidRDefault="00FA12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DD01E3"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26539C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4EF1"/>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364"/>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30"/>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388"/>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1B5A"/>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6C8"/>
    <w:rsid w:val="00A009D9"/>
    <w:rsid w:val="00A01144"/>
    <w:rsid w:val="00A01177"/>
    <w:rsid w:val="00A012B1"/>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4CB"/>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6D4"/>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0D4B"/>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6A19"/>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0E"/>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4</TotalTime>
  <Pages>1</Pages>
  <Words>217</Words>
  <Characters>1226</Characters>
  <Application>Microsoft Office Word</Application>
  <DocSecurity>0</DocSecurity>
  <Lines>87</Lines>
  <Paragraphs>32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1411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2026-02-18T22:16:00Z</dcterms:created>
  <dcterms:modified xsi:type="dcterms:W3CDTF">2026-02-18T22:16:00Z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