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29DE0610"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12F8C">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B57E87B" w14:textId="1BAA446F"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Cena para el evento internacional “Encuentro de Supervisores Bancarios ASBA”</w:t>
            </w:r>
          </w:p>
          <w:p w14:paraId="0CBA2317" w14:textId="0C6E379B"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Incluye:</w:t>
            </w:r>
          </w:p>
          <w:p w14:paraId="5E22526F" w14:textId="4F54D8F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p>
          <w:p w14:paraId="30B61A1A" w14:textId="2EB9AB65"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caliente</w:t>
            </w:r>
          </w:p>
          <w:p w14:paraId="1AB18982" w14:textId="7AEB682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-Un agua sin gas </w:t>
            </w:r>
          </w:p>
          <w:p w14:paraId="5EC0EF84" w14:textId="52ECF0E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-Pan y mantequilla </w:t>
            </w:r>
          </w:p>
          <w:p w14:paraId="743D8DBD"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-Entrada </w:t>
            </w:r>
          </w:p>
          <w:p w14:paraId="1068A162"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-Plato de fondo</w:t>
            </w:r>
          </w:p>
          <w:p w14:paraId="6B3BD303" w14:textId="66E288E2"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-Postre</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20BBCB95" w:rsidR="00E90A5B" w:rsidRPr="0051097A" w:rsidRDefault="00DB0B9F" w:rsidP="00D11866">
            <w:pPr>
              <w:widowControl w:val="0"/>
              <w:jc w:val="center"/>
              <w:rPr>
                <w:rFonts w:ascii="Arial" w:eastAsia="Times New Roman" w:hAnsi="Arial" w:cs="Arial"/>
                <w:color w:val="000000" w:themeColor="text1"/>
                <w:sz w:val="18"/>
                <w:lang w:val="es-ES" w:eastAsia="en-US"/>
              </w:rPr>
            </w:pPr>
            <w:r>
              <w:rPr>
                <w:rFonts w:ascii="Arial" w:eastAsia="Times New Roman" w:hAnsi="Arial" w:cs="Arial"/>
                <w:color w:val="000000" w:themeColor="text1"/>
                <w:sz w:val="18"/>
                <w:lang w:val="es-ES" w:eastAsia="en-US"/>
              </w:rPr>
              <w:t>50</w:t>
            </w:r>
            <w:r>
              <w:rPr>
                <w:rStyle w:val="Refdenotaalpie"/>
                <w:rFonts w:ascii="Arial" w:eastAsia="Times New Roman" w:hAnsi="Arial" w:cs="Arial"/>
                <w:color w:val="000000" w:themeColor="text1"/>
                <w:sz w:val="18"/>
                <w:lang w:val="es-ES" w:eastAsia="en-US"/>
              </w:rPr>
              <w:footnoteReference w:id="1"/>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12F8C" w:rsidRPr="00E90A5B" w14:paraId="2FCA43DC"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AAAAA6E" w14:textId="0B3AC56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r w:rsidR="00714D32" w:rsidRPr="0051097A">
              <w:rPr>
                <w:rStyle w:val="Refdenotaalpie"/>
                <w:rFonts w:ascii="Arial" w:eastAsia="Times New Roman" w:hAnsi="Arial" w:cs="Arial"/>
                <w:color w:val="000000" w:themeColor="text1"/>
                <w:sz w:val="18"/>
                <w:lang w:eastAsia="en-US"/>
              </w:rPr>
              <w:footnoteReference w:id="2"/>
            </w:r>
          </w:p>
        </w:tc>
        <w:tc>
          <w:tcPr>
            <w:tcW w:w="1211" w:type="dxa"/>
            <w:tcBorders>
              <w:top w:val="single" w:sz="4" w:space="0" w:color="auto"/>
              <w:left w:val="single" w:sz="4" w:space="0" w:color="auto"/>
              <w:bottom w:val="single" w:sz="4" w:space="0" w:color="auto"/>
              <w:right w:val="single" w:sz="4" w:space="0" w:color="auto"/>
            </w:tcBorders>
            <w:vAlign w:val="center"/>
          </w:tcPr>
          <w:p w14:paraId="5058EBE4" w14:textId="5B3D2993" w:rsidR="00E12F8C" w:rsidRPr="0051097A" w:rsidRDefault="00DB0B9F" w:rsidP="00D11866">
            <w:pPr>
              <w:widowControl w:val="0"/>
              <w:jc w:val="center"/>
              <w:rPr>
                <w:rFonts w:ascii="Arial" w:eastAsia="Times New Roman" w:hAnsi="Arial" w:cs="Arial"/>
                <w:color w:val="000000" w:themeColor="text1"/>
                <w:sz w:val="18"/>
                <w:lang w:val="es-ES" w:eastAsia="en-US"/>
              </w:rPr>
            </w:pPr>
            <w:r>
              <w:rPr>
                <w:rFonts w:ascii="Arial" w:eastAsia="Times New Roman" w:hAnsi="Arial" w:cs="Arial"/>
                <w:color w:val="000000" w:themeColor="text1"/>
                <w:sz w:val="18"/>
                <w:lang w:val="es-ES" w:eastAsia="en-US"/>
              </w:rPr>
              <w:t>50</w:t>
            </w:r>
          </w:p>
        </w:tc>
        <w:tc>
          <w:tcPr>
            <w:tcW w:w="2156" w:type="dxa"/>
            <w:tcBorders>
              <w:top w:val="single" w:sz="4" w:space="0" w:color="auto"/>
              <w:left w:val="single" w:sz="4" w:space="0" w:color="auto"/>
              <w:bottom w:val="single" w:sz="4" w:space="0" w:color="auto"/>
              <w:right w:val="single" w:sz="4" w:space="0" w:color="auto"/>
            </w:tcBorders>
            <w:vAlign w:val="center"/>
          </w:tcPr>
          <w:p w14:paraId="7E5E70ED" w14:textId="77777777" w:rsidR="00E12F8C" w:rsidRPr="00E90A5B" w:rsidRDefault="00E12F8C"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81F31E8" w14:textId="77777777" w:rsidR="00E12F8C" w:rsidRPr="00E90A5B" w:rsidRDefault="00E12F8C"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E12F8C">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51097A" w:rsidRDefault="008A745E" w:rsidP="008A745E">
            <w:pPr>
              <w:widowControl w:val="0"/>
              <w:jc w:val="center"/>
              <w:rPr>
                <w:rFonts w:ascii="Arial" w:eastAsia="Times New Roman" w:hAnsi="Arial" w:cs="Arial"/>
                <w:b/>
                <w:bCs/>
                <w:color w:val="000000" w:themeColor="text1"/>
                <w:sz w:val="28"/>
                <w:szCs w:val="32"/>
                <w:lang w:val="es-ES" w:eastAsia="en-US"/>
              </w:rPr>
            </w:pPr>
            <w:r w:rsidRPr="0051097A">
              <w:rPr>
                <w:rFonts w:ascii="Arial" w:eastAsia="Times New Roman" w:hAnsi="Arial" w:cs="Arial"/>
                <w:b/>
                <w:bCs/>
                <w:color w:val="000000" w:themeColor="text1"/>
                <w:sz w:val="28"/>
                <w:szCs w:val="32"/>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924A5" w14:textId="77777777" w:rsidR="00F43D75" w:rsidRDefault="00F43D75">
      <w:r>
        <w:separator/>
      </w:r>
    </w:p>
  </w:endnote>
  <w:endnote w:type="continuationSeparator" w:id="0">
    <w:p w14:paraId="00742036" w14:textId="77777777" w:rsidR="00F43D75" w:rsidRDefault="00F43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CF7D6" w14:textId="77777777" w:rsidR="00F43D75" w:rsidRDefault="00F43D75">
      <w:r>
        <w:separator/>
      </w:r>
    </w:p>
  </w:footnote>
  <w:footnote w:type="continuationSeparator" w:id="0">
    <w:p w14:paraId="1A750C49" w14:textId="77777777" w:rsidR="00F43D75" w:rsidRDefault="00F43D75">
      <w:r>
        <w:continuationSeparator/>
      </w:r>
    </w:p>
  </w:footnote>
  <w:footnote w:id="1">
    <w:p w14:paraId="5F7DE3AD" w14:textId="7218AF47" w:rsidR="00DB0B9F" w:rsidRPr="00DB0B9F" w:rsidRDefault="00DB0B9F">
      <w:pPr>
        <w:pStyle w:val="Textonotapie"/>
        <w:rPr>
          <w:lang w:val="es-MX"/>
        </w:rPr>
      </w:pPr>
      <w:r>
        <w:rPr>
          <w:rStyle w:val="Refdenotaalpie"/>
        </w:rPr>
        <w:footnoteRef/>
      </w:r>
      <w:r>
        <w:t xml:space="preserve"> </w:t>
      </w:r>
      <w:r>
        <w:rPr>
          <w:lang w:val="es-MX"/>
        </w:rPr>
        <w:t>La cantidad de cena dependerá de los confirmados que serán acordados 2 días antes del evento con el área usuario</w:t>
      </w:r>
    </w:p>
  </w:footnote>
  <w:footnote w:id="2">
    <w:p w14:paraId="68B399AB" w14:textId="684ADC44" w:rsidR="00714D32" w:rsidRPr="00714D32" w:rsidRDefault="00714D32">
      <w:pPr>
        <w:pStyle w:val="Textonotapie"/>
        <w:rPr>
          <w:lang w:val="es-MX"/>
        </w:rPr>
      </w:pPr>
      <w:r>
        <w:rPr>
          <w:rStyle w:val="Refdenotaalpie"/>
        </w:rPr>
        <w:footnoteRef/>
      </w:r>
      <w:r>
        <w:t xml:space="preserve"> </w:t>
      </w:r>
      <w:r>
        <w:rPr>
          <w:lang w:val="es-MX"/>
        </w:rPr>
        <w:t xml:space="preserve">La ronda adicional de bebidas </w:t>
      </w:r>
      <w:r w:rsidR="00DB0B9F">
        <w:rPr>
          <w:lang w:val="es-MX"/>
        </w:rPr>
        <w:t>frías</w:t>
      </w:r>
      <w:r>
        <w:rPr>
          <w:lang w:val="es-MX"/>
        </w:rPr>
        <w:t xml:space="preserve"> </w:t>
      </w:r>
      <w:r w:rsidRPr="00714D32">
        <w:t>serán facturadas de acuerdo con el consumo efectuado, luego de culminada la prestación.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495"/>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0D23"/>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97A"/>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07D"/>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32"/>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1DF"/>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B9F"/>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2F8C"/>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235"/>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D75"/>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3176</TotalTime>
  <Pages>1</Pages>
  <Words>141</Words>
  <Characters>818</Characters>
  <Application>Microsoft Office Word</Application>
  <DocSecurity>0</DocSecurity>
  <Lines>54</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2026-02-19T17:21:00Z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