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7B21EE3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453CC4" w:rsidRPr="00453CC4">
        <w:rPr>
          <w:bCs/>
          <w:color w:val="auto"/>
          <w:sz w:val="20"/>
        </w:rPr>
        <w:t>SERVICIO DE TRASLADO DE DOS CAJEROS TIPO PARED DEL HOSPITAL REGIONAL DE UCAYALI Y LA IMPLEMENTACIÓN DE UN CAJERO TIPO PARED EN LA MUNICIPALIDAD DE YARINACOCHA-CORONEL PORTILLO- UCAYALI</w:t>
      </w:r>
      <w:bookmarkStart w:id="0" w:name="_GoBack"/>
      <w:bookmarkEnd w:id="0"/>
      <w:r w:rsidRPr="00194CB8">
        <w:rPr>
          <w:color w:val="auto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2C01EA2" w:rsidR="00372357" w:rsidRPr="005D1246" w:rsidRDefault="00194CB8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5F5CB6C0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453CC4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194CB8"/>
    <w:rsid w:val="00285D5C"/>
    <w:rsid w:val="00321391"/>
    <w:rsid w:val="00372357"/>
    <w:rsid w:val="00402832"/>
    <w:rsid w:val="00433A5A"/>
    <w:rsid w:val="00453CC4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260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22</cp:revision>
  <dcterms:created xsi:type="dcterms:W3CDTF">2025-05-28T17:53:00Z</dcterms:created>
  <dcterms:modified xsi:type="dcterms:W3CDTF">2026-02-26T16:33:00Z</dcterms:modified>
</cp:coreProperties>
</file>