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20ABFDD8"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1928BD52" w:rsidR="00CE79EA" w:rsidRPr="006E2104" w:rsidRDefault="007E7BE0" w:rsidP="00494EB4">
            <w:pPr>
              <w:widowControl w:val="0"/>
              <w:jc w:val="both"/>
              <w:rPr>
                <w:rFonts w:ascii="Arial" w:eastAsia="Times New Roman" w:hAnsi="Arial" w:cs="Arial"/>
                <w:color w:val="000000" w:themeColor="text1"/>
                <w:sz w:val="18"/>
                <w:lang w:eastAsia="en-US"/>
              </w:rPr>
            </w:pPr>
            <w:r w:rsidRPr="007E7BE0">
              <w:rPr>
                <w:rFonts w:ascii="Arial" w:eastAsia="Times New Roman" w:hAnsi="Arial" w:cs="Arial"/>
                <w:color w:val="000000" w:themeColor="text1"/>
                <w:sz w:val="18"/>
                <w:lang w:eastAsia="en-US"/>
              </w:rPr>
              <w:t>Tasación de dos inmuebles ubicados en el distrito de Ilo (Moquegua).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3F0B370A"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E210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D1988" w14:textId="77777777" w:rsidR="00846099" w:rsidRDefault="00846099">
      <w:r>
        <w:separator/>
      </w:r>
    </w:p>
  </w:endnote>
  <w:endnote w:type="continuationSeparator" w:id="0">
    <w:p w14:paraId="12411788" w14:textId="77777777" w:rsidR="00846099" w:rsidRDefault="00846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2C540" w14:textId="77777777" w:rsidR="00846099" w:rsidRDefault="00846099">
      <w:r>
        <w:separator/>
      </w:r>
    </w:p>
  </w:footnote>
  <w:footnote w:type="continuationSeparator" w:id="0">
    <w:p w14:paraId="5F427F85" w14:textId="77777777" w:rsidR="00846099" w:rsidRDefault="00846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6DB"/>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BBA"/>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104"/>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E7BE0"/>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099"/>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AFC"/>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117</Words>
  <Characters>644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2026-04-27T22:15:00Z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