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8784" w:type="dxa"/>
        <w:tblLook w:val="04A0" w:firstRow="1" w:lastRow="0" w:firstColumn="1" w:lastColumn="0" w:noHBand="0" w:noVBand="1"/>
      </w:tblPr>
      <w:tblGrid>
        <w:gridCol w:w="8784"/>
      </w:tblGrid>
      <w:tr w:rsidR="00F57404" w14:paraId="51EBF01D" w14:textId="77777777" w:rsidTr="00BE67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Pr>
          <w:p w14:paraId="754E24F0" w14:textId="3924C45E" w:rsidR="00F57404" w:rsidRPr="00F57404" w:rsidRDefault="00F57404" w:rsidP="00BE67C4">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BE67C4">
              <w:rPr>
                <w:rFonts w:ascii="Arial" w:hAnsi="Arial" w:cs="Arial"/>
                <w:bCs w:val="0"/>
                <w:color w:val="auto"/>
                <w:sz w:val="20"/>
              </w:rPr>
              <w:t>034</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BE67C4" w:rsidRPr="00BE67C4">
              <w:rPr>
                <w:rFonts w:ascii="Arial" w:hAnsi="Arial" w:cs="Arial"/>
                <w:bCs w:val="0"/>
                <w:color w:val="auto"/>
                <w:sz w:val="20"/>
              </w:rPr>
              <w:t>SERVICIO DE REVISIÓN Y EVALUACIÓN DEL SPLAFT ACOTADO Y PROPUESTAS DE MEJORA EN EL MOF Y DOCUMENTOS SEGÚN LA RESOLUCIÓN SBS-369-2018 Y BUENAS PRÁCTICAS DE LAFT</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0"/>
        <w:gridCol w:w="3742"/>
        <w:gridCol w:w="690"/>
        <w:gridCol w:w="1386"/>
        <w:gridCol w:w="1132"/>
        <w:gridCol w:w="1104"/>
      </w:tblGrid>
      <w:tr w:rsidR="00A60FEA" w:rsidRPr="00340079" w14:paraId="10A81DB6" w14:textId="77777777" w:rsidTr="00BE67C4">
        <w:trPr>
          <w:trHeight w:val="37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2"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A60FEA" w:rsidRPr="00340079" w14:paraId="453361CD" w14:textId="77777777" w:rsidTr="00BE67C4">
        <w:trPr>
          <w:trHeight w:val="21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C888E95" w14:textId="77777777" w:rsidR="00A60FEA" w:rsidRPr="00BE67C4" w:rsidRDefault="00A60FEA" w:rsidP="00BE67C4">
            <w:pPr>
              <w:spacing w:after="0" w:line="240" w:lineRule="auto"/>
              <w:jc w:val="center"/>
              <w:rPr>
                <w:rFonts w:ascii="Arial" w:eastAsia="Times New Roman" w:hAnsi="Arial" w:cs="Arial"/>
                <w:b/>
                <w:bCs/>
                <w:color w:val="auto"/>
                <w:sz w:val="18"/>
                <w:szCs w:val="16"/>
              </w:rPr>
            </w:pPr>
            <w:r w:rsidRPr="00BE67C4">
              <w:rPr>
                <w:rFonts w:ascii="Arial" w:eastAsia="Times New Roman" w:hAnsi="Arial" w:cs="Arial"/>
                <w:b/>
                <w:bCs/>
                <w:color w:val="auto"/>
                <w:sz w:val="18"/>
                <w:szCs w:val="16"/>
              </w:rPr>
              <w:t>1</w:t>
            </w:r>
          </w:p>
        </w:tc>
        <w:tc>
          <w:tcPr>
            <w:tcW w:w="3742" w:type="dxa"/>
            <w:tcBorders>
              <w:top w:val="nil"/>
              <w:left w:val="nil"/>
              <w:bottom w:val="single" w:sz="4" w:space="0" w:color="auto"/>
              <w:right w:val="single" w:sz="4" w:space="0" w:color="auto"/>
            </w:tcBorders>
            <w:shd w:val="clear" w:color="auto" w:fill="auto"/>
            <w:vAlign w:val="center"/>
            <w:hideMark/>
          </w:tcPr>
          <w:p w14:paraId="23BD40CE" w14:textId="4EAE9ADF" w:rsidR="00A60FEA" w:rsidRPr="00BE67C4" w:rsidRDefault="00BE67C4" w:rsidP="00BE67C4">
            <w:pPr>
              <w:spacing w:after="0" w:line="240" w:lineRule="auto"/>
              <w:jc w:val="center"/>
              <w:rPr>
                <w:rFonts w:ascii="Arial" w:eastAsia="Times New Roman" w:hAnsi="Arial" w:cs="Arial"/>
                <w:b/>
                <w:bCs/>
                <w:color w:val="auto"/>
                <w:sz w:val="18"/>
                <w:szCs w:val="16"/>
              </w:rPr>
            </w:pPr>
            <w:r w:rsidRPr="00BE67C4">
              <w:rPr>
                <w:rFonts w:ascii="Arial" w:eastAsia="Times New Roman" w:hAnsi="Arial" w:cs="Arial"/>
                <w:b/>
                <w:bCs/>
                <w:color w:val="auto"/>
                <w:sz w:val="18"/>
                <w:szCs w:val="16"/>
              </w:rPr>
              <w:t>SERVICIO DE REVISIÓN Y EVALUACIÓN DEL SPLAFT ACOTADO Y PROPUESTAS DE MEJORA EN EL MOF Y</w:t>
            </w:r>
            <w:r>
              <w:rPr>
                <w:rFonts w:ascii="Arial" w:eastAsia="Times New Roman" w:hAnsi="Arial" w:cs="Arial"/>
                <w:b/>
                <w:bCs/>
                <w:color w:val="auto"/>
                <w:sz w:val="18"/>
                <w:szCs w:val="16"/>
              </w:rPr>
              <w:t xml:space="preserve"> </w:t>
            </w:r>
            <w:r w:rsidRPr="00BE67C4">
              <w:rPr>
                <w:rFonts w:ascii="Arial" w:eastAsia="Times New Roman" w:hAnsi="Arial" w:cs="Arial"/>
                <w:b/>
                <w:bCs/>
                <w:color w:val="auto"/>
                <w:sz w:val="18"/>
                <w:szCs w:val="16"/>
              </w:rPr>
              <w:t>DOCUMENTOS SEGÚN LA RESOLUCIÓN SBS-369-2018 Y BUENAS PRÁCTICAS DE LAFT</w:t>
            </w:r>
          </w:p>
          <w:p w14:paraId="3DD2BE33" w14:textId="6D97AD61" w:rsidR="00BE67C4" w:rsidRPr="00BE67C4" w:rsidRDefault="00BE67C4" w:rsidP="00BE67C4">
            <w:pPr>
              <w:spacing w:after="0" w:line="240" w:lineRule="auto"/>
              <w:jc w:val="center"/>
              <w:rPr>
                <w:rFonts w:ascii="Arial" w:eastAsia="Times New Roman" w:hAnsi="Arial" w:cs="Arial"/>
                <w:b/>
                <w:bCs/>
                <w:color w:val="auto"/>
                <w:sz w:val="18"/>
                <w:szCs w:val="16"/>
              </w:rPr>
            </w:pPr>
          </w:p>
        </w:tc>
        <w:tc>
          <w:tcPr>
            <w:tcW w:w="690" w:type="dxa"/>
            <w:tcBorders>
              <w:top w:val="nil"/>
              <w:left w:val="nil"/>
              <w:bottom w:val="single" w:sz="4" w:space="0" w:color="auto"/>
              <w:right w:val="single" w:sz="4" w:space="0" w:color="auto"/>
            </w:tcBorders>
            <w:shd w:val="clear" w:color="auto" w:fill="auto"/>
            <w:vAlign w:val="center"/>
            <w:hideMark/>
          </w:tcPr>
          <w:p w14:paraId="58D77CB9" w14:textId="1CA97355" w:rsidR="00A60FEA" w:rsidRPr="00BE67C4" w:rsidRDefault="00BE67C4" w:rsidP="00BE67C4">
            <w:pPr>
              <w:spacing w:after="0" w:line="240" w:lineRule="auto"/>
              <w:jc w:val="center"/>
              <w:rPr>
                <w:rFonts w:ascii="Arial" w:eastAsia="Times New Roman" w:hAnsi="Arial" w:cs="Arial"/>
                <w:b/>
                <w:bCs/>
                <w:color w:val="auto"/>
                <w:sz w:val="18"/>
                <w:szCs w:val="16"/>
              </w:rPr>
            </w:pPr>
            <w:r w:rsidRPr="00BE67C4">
              <w:rPr>
                <w:rFonts w:ascii="Arial" w:eastAsia="Times New Roman" w:hAnsi="Arial" w:cs="Arial"/>
                <w:b/>
                <w:bCs/>
                <w:color w:val="auto"/>
                <w:sz w:val="18"/>
                <w:szCs w:val="16"/>
              </w:rPr>
              <w:t>01</w:t>
            </w:r>
          </w:p>
        </w:tc>
        <w:tc>
          <w:tcPr>
            <w:tcW w:w="1386" w:type="dxa"/>
            <w:tcBorders>
              <w:top w:val="nil"/>
              <w:left w:val="nil"/>
              <w:bottom w:val="single" w:sz="4" w:space="0" w:color="auto"/>
              <w:right w:val="single" w:sz="4" w:space="0" w:color="auto"/>
            </w:tcBorders>
            <w:shd w:val="clear" w:color="auto" w:fill="auto"/>
            <w:vAlign w:val="center"/>
            <w:hideMark/>
          </w:tcPr>
          <w:p w14:paraId="5DD8A903" w14:textId="2BBA35B5" w:rsidR="00A60FEA" w:rsidRPr="00BE67C4" w:rsidRDefault="00BE67C4" w:rsidP="00BE67C4">
            <w:pPr>
              <w:spacing w:after="0" w:line="240" w:lineRule="auto"/>
              <w:jc w:val="center"/>
              <w:rPr>
                <w:rFonts w:ascii="Arial" w:eastAsia="Times New Roman" w:hAnsi="Arial" w:cs="Arial"/>
                <w:b/>
                <w:bCs/>
                <w:color w:val="auto"/>
                <w:sz w:val="18"/>
                <w:szCs w:val="16"/>
              </w:rPr>
            </w:pPr>
            <w:r w:rsidRPr="00BE67C4">
              <w:rPr>
                <w:rFonts w:ascii="Arial" w:eastAsia="Times New Roman" w:hAnsi="Arial" w:cs="Arial"/>
                <w:b/>
                <w:bCs/>
                <w:color w:val="auto"/>
                <w:sz w:val="18"/>
                <w:szCs w:val="16"/>
              </w:rPr>
              <w:t>SERVICIO</w:t>
            </w:r>
          </w:p>
        </w:tc>
        <w:tc>
          <w:tcPr>
            <w:tcW w:w="1132" w:type="dxa"/>
            <w:tcBorders>
              <w:top w:val="nil"/>
              <w:left w:val="nil"/>
              <w:bottom w:val="single" w:sz="4" w:space="0" w:color="auto"/>
              <w:right w:val="single" w:sz="4" w:space="0" w:color="auto"/>
            </w:tcBorders>
            <w:shd w:val="clear" w:color="000000" w:fill="FFFFFF"/>
            <w:vAlign w:val="center"/>
            <w:hideMark/>
          </w:tcPr>
          <w:p w14:paraId="5BD8AFD4" w14:textId="21AB3294" w:rsidR="00A60FEA" w:rsidRPr="00BE67C4" w:rsidRDefault="00A60FEA" w:rsidP="00BE67C4">
            <w:pPr>
              <w:spacing w:after="0" w:line="240" w:lineRule="auto"/>
              <w:jc w:val="center"/>
              <w:rPr>
                <w:rFonts w:ascii="Arial" w:eastAsia="Times New Roman" w:hAnsi="Arial" w:cs="Arial"/>
                <w:b/>
                <w:bCs/>
                <w:color w:val="auto"/>
                <w:sz w:val="18"/>
                <w:szCs w:val="16"/>
              </w:rPr>
            </w:pPr>
          </w:p>
        </w:tc>
        <w:tc>
          <w:tcPr>
            <w:tcW w:w="1104" w:type="dxa"/>
            <w:tcBorders>
              <w:top w:val="nil"/>
              <w:left w:val="nil"/>
              <w:bottom w:val="single" w:sz="4" w:space="0" w:color="auto"/>
              <w:right w:val="single" w:sz="4" w:space="0" w:color="auto"/>
            </w:tcBorders>
            <w:shd w:val="clear" w:color="000000" w:fill="FFFFFF"/>
            <w:vAlign w:val="center"/>
            <w:hideMark/>
          </w:tcPr>
          <w:p w14:paraId="22DE4CC2" w14:textId="3FC018BB" w:rsidR="00A60FEA" w:rsidRPr="00BE67C4" w:rsidRDefault="00A60FEA" w:rsidP="00BE67C4">
            <w:pPr>
              <w:spacing w:after="0" w:line="240" w:lineRule="auto"/>
              <w:jc w:val="center"/>
              <w:rPr>
                <w:rFonts w:ascii="Arial" w:eastAsia="Times New Roman" w:hAnsi="Arial" w:cs="Arial"/>
                <w:b/>
                <w:bCs/>
                <w:color w:val="auto"/>
                <w:sz w:val="18"/>
                <w:szCs w:val="16"/>
              </w:rPr>
            </w:pPr>
          </w:p>
        </w:tc>
      </w:tr>
      <w:tr w:rsidR="00A60FEA" w:rsidRPr="00CD3588" w14:paraId="560C7471" w14:textId="77777777" w:rsidTr="00BE67C4">
        <w:trPr>
          <w:trHeight w:val="248"/>
        </w:trPr>
        <w:tc>
          <w:tcPr>
            <w:tcW w:w="638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2"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4"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BE67C4">
        <w:trPr>
          <w:trHeight w:val="248"/>
        </w:trPr>
        <w:tc>
          <w:tcPr>
            <w:tcW w:w="638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2"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4"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945AD"/>
    <w:rsid w:val="001540AE"/>
    <w:rsid w:val="002C6735"/>
    <w:rsid w:val="00384C94"/>
    <w:rsid w:val="00405603"/>
    <w:rsid w:val="00423CC8"/>
    <w:rsid w:val="0046680D"/>
    <w:rsid w:val="005E400A"/>
    <w:rsid w:val="00693C74"/>
    <w:rsid w:val="00912B74"/>
    <w:rsid w:val="00940479"/>
    <w:rsid w:val="00A60FEA"/>
    <w:rsid w:val="00BE67C4"/>
    <w:rsid w:val="00CA6EB0"/>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875</Words>
  <Characters>4814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Practicante de Departamento de Logística</cp:lastModifiedBy>
  <cp:revision>7</cp:revision>
  <dcterms:created xsi:type="dcterms:W3CDTF">2024-03-08T14:18:00Z</dcterms:created>
  <dcterms:modified xsi:type="dcterms:W3CDTF">2025-03-04T14:20:00Z</dcterms:modified>
</cp:coreProperties>
</file>