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DE73D" w14:textId="77777777" w:rsidR="004E57DE" w:rsidRDefault="004E57DE" w:rsidP="004E57DE">
      <w:pPr>
        <w:jc w:val="both"/>
      </w:pPr>
    </w:p>
    <w:p w14:paraId="062CE9C1" w14:textId="77777777" w:rsidR="004E57DE" w:rsidRDefault="004E57DE" w:rsidP="004E57DE">
      <w:pPr>
        <w:jc w:val="both"/>
      </w:pPr>
      <w:r>
        <w:t>1.</w:t>
      </w:r>
      <w:r>
        <w:tab/>
        <w:t xml:space="preserve">DENOMINACIÓN </w:t>
      </w:r>
    </w:p>
    <w:p w14:paraId="04103562" w14:textId="77777777" w:rsidR="004E57DE" w:rsidRDefault="004E57DE" w:rsidP="004E57DE">
      <w:pPr>
        <w:jc w:val="both"/>
      </w:pPr>
      <w:r>
        <w:t>Compra de etiquetas de rotulo para frascos de laboratorio para el Dpto. de Control de Calidad y Efluentes.</w:t>
      </w:r>
    </w:p>
    <w:p w14:paraId="7CDCA0C7" w14:textId="77777777" w:rsidR="004E57DE" w:rsidRDefault="004E57DE" w:rsidP="004E57DE">
      <w:pPr>
        <w:jc w:val="both"/>
      </w:pPr>
      <w:r>
        <w:t>2.</w:t>
      </w:r>
      <w:r>
        <w:tab/>
        <w:t>FINALIDAD PÚBLICA.</w:t>
      </w:r>
    </w:p>
    <w:p w14:paraId="3710EAA1" w14:textId="77777777" w:rsidR="004E57DE" w:rsidRDefault="004E57DE" w:rsidP="004E57DE">
      <w:pPr>
        <w:jc w:val="both"/>
      </w:pPr>
      <w:r>
        <w:t>En cumplimiento de los lineamientos de los laboratorios del Dpto. Control de Calidad y Efluentes.</w:t>
      </w:r>
    </w:p>
    <w:p w14:paraId="1F05F18A" w14:textId="77777777" w:rsidR="004E57DE" w:rsidRDefault="004E57DE" w:rsidP="004E57DE">
      <w:pPr>
        <w:jc w:val="both"/>
      </w:pPr>
      <w:r>
        <w:t>3.</w:t>
      </w:r>
      <w:r>
        <w:tab/>
        <w:t xml:space="preserve">ACTIVIDAD DEL POI </w:t>
      </w:r>
    </w:p>
    <w:p w14:paraId="421006D0" w14:textId="77777777" w:rsidR="004E57DE" w:rsidRDefault="004E57DE" w:rsidP="004E57DE">
      <w:pPr>
        <w:jc w:val="both"/>
      </w:pPr>
      <w:r>
        <w:t>GESTION CALIDAD AGUA POTABLE AOI50012900033</w:t>
      </w:r>
    </w:p>
    <w:p w14:paraId="7BE21E91" w14:textId="77777777" w:rsidR="004E57DE" w:rsidRDefault="004E57DE" w:rsidP="004E57DE">
      <w:pPr>
        <w:jc w:val="both"/>
      </w:pPr>
      <w:r>
        <w:t>4.</w:t>
      </w:r>
      <w:r>
        <w:tab/>
        <w:t>CÓDIGO CÁTALOGO ÚNICO DE BIENES</w:t>
      </w:r>
    </w:p>
    <w:p w14:paraId="2CBBAC0B" w14:textId="77777777" w:rsidR="004E57DE" w:rsidRDefault="004E57DE" w:rsidP="004E57DE">
      <w:pPr>
        <w:jc w:val="both"/>
      </w:pPr>
      <w:r>
        <w:t>53183</w:t>
      </w:r>
      <w:r>
        <w:tab/>
        <w:t>4321211500394984</w:t>
      </w:r>
      <w:r>
        <w:tab/>
        <w:t>IMPRESORA TERMICA PARA ETIQUETAS AUTOADHESIVAS</w:t>
      </w:r>
    </w:p>
    <w:p w14:paraId="36C3F624" w14:textId="77777777" w:rsidR="004E57DE" w:rsidRDefault="004E57DE" w:rsidP="004E57DE">
      <w:pPr>
        <w:jc w:val="both"/>
      </w:pPr>
      <w:r>
        <w:t>5.</w:t>
      </w:r>
      <w:r>
        <w:tab/>
        <w:t>ESPECIFICACIONES TÉCNICAS</w:t>
      </w:r>
    </w:p>
    <w:p w14:paraId="16C69C3F" w14:textId="3F8877DE" w:rsidR="004E57DE" w:rsidRDefault="004E57DE" w:rsidP="004E57DE">
      <w:pPr>
        <w:jc w:val="both"/>
      </w:pPr>
      <w:r>
        <w:t>Etiquetas: Autoadhesivas plastificadas</w:t>
      </w:r>
      <w:r>
        <w:t xml:space="preserve"> 7x31cm (2450)</w:t>
      </w:r>
    </w:p>
    <w:p w14:paraId="5C64D635" w14:textId="77777777" w:rsidR="004E57DE" w:rsidRDefault="004E57DE" w:rsidP="004E57DE">
      <w:pPr>
        <w:pStyle w:val="Prrafodelista"/>
        <w:numPr>
          <w:ilvl w:val="0"/>
          <w:numId w:val="1"/>
        </w:numPr>
        <w:jc w:val="both"/>
      </w:pPr>
      <w:r>
        <w:t>Calidad: papel mate o vinilo blanco mate</w:t>
      </w:r>
    </w:p>
    <w:p w14:paraId="237A875F" w14:textId="77777777" w:rsidR="004E57DE" w:rsidRDefault="004E57DE" w:rsidP="004E57DE">
      <w:pPr>
        <w:pStyle w:val="Prrafodelista"/>
        <w:numPr>
          <w:ilvl w:val="0"/>
          <w:numId w:val="1"/>
        </w:numPr>
        <w:jc w:val="both"/>
      </w:pPr>
      <w:r>
        <w:t>Color: Full Color</w:t>
      </w:r>
    </w:p>
    <w:p w14:paraId="2EA8125E" w14:textId="77777777" w:rsidR="004E57DE" w:rsidRDefault="004E57DE" w:rsidP="004E57DE">
      <w:pPr>
        <w:pStyle w:val="Prrafodelista"/>
        <w:numPr>
          <w:ilvl w:val="0"/>
          <w:numId w:val="1"/>
        </w:numPr>
        <w:jc w:val="both"/>
      </w:pPr>
      <w:r>
        <w:t>Código: E.001.CC</w:t>
      </w:r>
    </w:p>
    <w:p w14:paraId="00D5653D" w14:textId="77777777" w:rsidR="004E57DE" w:rsidRDefault="004E57DE" w:rsidP="004E57DE">
      <w:pPr>
        <w:pStyle w:val="Prrafodelista"/>
        <w:numPr>
          <w:ilvl w:val="0"/>
          <w:numId w:val="1"/>
        </w:numPr>
        <w:jc w:val="both"/>
      </w:pPr>
      <w:r>
        <w:t>Modelo: E.001.CC (</w:t>
      </w:r>
      <w:proofErr w:type="spellStart"/>
      <w:r>
        <w:t>Codigo</w:t>
      </w:r>
      <w:proofErr w:type="spellEnd"/>
      <w:r>
        <w:t xml:space="preserve"> Etiqueta en el Modelo)</w:t>
      </w:r>
    </w:p>
    <w:p w14:paraId="15997468" w14:textId="77777777" w:rsidR="004E57DE" w:rsidRDefault="004E57DE" w:rsidP="004E57DE">
      <w:pPr>
        <w:pStyle w:val="Prrafodelista"/>
        <w:numPr>
          <w:ilvl w:val="0"/>
          <w:numId w:val="1"/>
        </w:numPr>
        <w:jc w:val="both"/>
      </w:pPr>
      <w:r>
        <w:t>Dimensiones: Alto 7 cm x Largo 31 cm</w:t>
      </w:r>
    </w:p>
    <w:p w14:paraId="3B1389CE" w14:textId="77777777" w:rsidR="004E57DE" w:rsidRDefault="004E57DE" w:rsidP="004E57DE">
      <w:pPr>
        <w:pStyle w:val="Prrafodelista"/>
        <w:numPr>
          <w:ilvl w:val="0"/>
          <w:numId w:val="1"/>
        </w:numPr>
        <w:jc w:val="both"/>
      </w:pPr>
      <w:r>
        <w:t>Según modelo adjunto.</w:t>
      </w:r>
    </w:p>
    <w:p w14:paraId="51C5675E" w14:textId="0A0614EB" w:rsidR="004E57DE" w:rsidRDefault="004E57DE" w:rsidP="004E57DE">
      <w:pPr>
        <w:jc w:val="both"/>
      </w:pPr>
      <w:r w:rsidRPr="004E57DE">
        <w:t>Etiquetas: Autoadhesivas plastificadas 7x</w:t>
      </w:r>
      <w:r>
        <w:t>26</w:t>
      </w:r>
      <w:r w:rsidRPr="004E57DE">
        <w:t>cm (2450)</w:t>
      </w:r>
    </w:p>
    <w:p w14:paraId="1F1A074F" w14:textId="77777777" w:rsidR="004E57DE" w:rsidRDefault="004E57DE" w:rsidP="004E57DE">
      <w:pPr>
        <w:pStyle w:val="Prrafodelista"/>
        <w:numPr>
          <w:ilvl w:val="0"/>
          <w:numId w:val="1"/>
        </w:numPr>
        <w:jc w:val="both"/>
      </w:pPr>
      <w:r>
        <w:t>Color: Full Color</w:t>
      </w:r>
    </w:p>
    <w:p w14:paraId="61662DBF" w14:textId="77777777" w:rsidR="004E57DE" w:rsidRPr="004E57DE" w:rsidRDefault="004E57DE" w:rsidP="004E57DE">
      <w:pPr>
        <w:pStyle w:val="Prrafodelista"/>
        <w:numPr>
          <w:ilvl w:val="0"/>
          <w:numId w:val="1"/>
        </w:numPr>
        <w:jc w:val="both"/>
      </w:pPr>
      <w:proofErr w:type="spellStart"/>
      <w:r w:rsidRPr="004E57DE">
        <w:t>Codigo</w:t>
      </w:r>
      <w:proofErr w:type="spellEnd"/>
      <w:r w:rsidRPr="004E57DE">
        <w:t>: E.003.CC</w:t>
      </w:r>
    </w:p>
    <w:p w14:paraId="27F5E017" w14:textId="77777777" w:rsidR="004E57DE" w:rsidRPr="004E57DE" w:rsidRDefault="004E57DE" w:rsidP="004E57DE">
      <w:pPr>
        <w:pStyle w:val="Prrafodelista"/>
        <w:numPr>
          <w:ilvl w:val="0"/>
          <w:numId w:val="1"/>
        </w:numPr>
        <w:jc w:val="both"/>
      </w:pPr>
      <w:r w:rsidRPr="004E57DE">
        <w:t>Modelo: E.003.CC (</w:t>
      </w:r>
      <w:proofErr w:type="spellStart"/>
      <w:r w:rsidRPr="004E57DE">
        <w:t>Codigo</w:t>
      </w:r>
      <w:proofErr w:type="spellEnd"/>
      <w:r w:rsidRPr="004E57DE">
        <w:t xml:space="preserve"> Etiqueta en el Modelo)</w:t>
      </w:r>
    </w:p>
    <w:p w14:paraId="1E341A27" w14:textId="1EA294D2" w:rsidR="004E57DE" w:rsidRDefault="004E57DE" w:rsidP="004E57DE">
      <w:pPr>
        <w:pStyle w:val="Prrafodelista"/>
        <w:numPr>
          <w:ilvl w:val="0"/>
          <w:numId w:val="1"/>
        </w:numPr>
        <w:jc w:val="both"/>
      </w:pPr>
      <w:r w:rsidRPr="004E57DE">
        <w:t>Dimensiones: Alto 7 cm x Largo 26 cm</w:t>
      </w:r>
    </w:p>
    <w:p w14:paraId="4F95AC1B" w14:textId="77777777" w:rsidR="004E57DE" w:rsidRDefault="004E57DE" w:rsidP="004E57DE">
      <w:pPr>
        <w:pStyle w:val="Prrafodelista"/>
        <w:numPr>
          <w:ilvl w:val="0"/>
          <w:numId w:val="1"/>
        </w:numPr>
        <w:jc w:val="both"/>
      </w:pPr>
      <w:r>
        <w:t>Según modelo adjunto.</w:t>
      </w:r>
    </w:p>
    <w:p w14:paraId="4E7FE0FD" w14:textId="77777777" w:rsidR="004E57DE" w:rsidRDefault="004E57DE" w:rsidP="004E57DE">
      <w:pPr>
        <w:jc w:val="both"/>
      </w:pPr>
    </w:p>
    <w:p w14:paraId="779A88E0" w14:textId="77777777" w:rsidR="004E57DE" w:rsidRDefault="004E57DE" w:rsidP="004E57DE">
      <w:pPr>
        <w:jc w:val="both"/>
      </w:pPr>
      <w:r>
        <w:t>6.</w:t>
      </w:r>
      <w:r>
        <w:tab/>
        <w:t xml:space="preserve">MODALIDAD DE PAGO </w:t>
      </w:r>
    </w:p>
    <w:p w14:paraId="7E81E438" w14:textId="77777777" w:rsidR="004E57DE" w:rsidRDefault="004E57DE" w:rsidP="004E57DE">
      <w:pPr>
        <w:jc w:val="both"/>
      </w:pPr>
      <w:r>
        <w:t>Suma alzada</w:t>
      </w:r>
    </w:p>
    <w:p w14:paraId="581D3972" w14:textId="77777777" w:rsidR="004E57DE" w:rsidRDefault="004E57DE" w:rsidP="004E57DE">
      <w:pPr>
        <w:jc w:val="both"/>
      </w:pPr>
      <w:r>
        <w:t>7.</w:t>
      </w:r>
      <w:r>
        <w:tab/>
        <w:t xml:space="preserve">PLAZO DE ENTREGA </w:t>
      </w:r>
    </w:p>
    <w:p w14:paraId="7431A30D" w14:textId="77777777" w:rsidR="004E57DE" w:rsidRDefault="004E57DE" w:rsidP="004E57DE">
      <w:pPr>
        <w:jc w:val="both"/>
      </w:pPr>
      <w:r>
        <w:t>30 días calendario</w:t>
      </w:r>
    </w:p>
    <w:p w14:paraId="2F49255B" w14:textId="77777777" w:rsidR="004E57DE" w:rsidRDefault="004E57DE" w:rsidP="004E57DE">
      <w:pPr>
        <w:jc w:val="both"/>
      </w:pPr>
      <w:r>
        <w:lastRenderedPageBreak/>
        <w:t>8.</w:t>
      </w:r>
      <w:r>
        <w:tab/>
        <w:t>LUGAR DE ENTREGA</w:t>
      </w:r>
    </w:p>
    <w:p w14:paraId="242AE2CF" w14:textId="77777777" w:rsidR="004E57DE" w:rsidRDefault="004E57DE" w:rsidP="004E57DE">
      <w:pPr>
        <w:jc w:val="both"/>
      </w:pPr>
      <w:r>
        <w:t>URB. Edificadores Misti AV. Goyeneche No 904 MIRAFLORES, Referencia Altura Parque Mayta Cápac.</w:t>
      </w:r>
    </w:p>
    <w:p w14:paraId="1C4BF55F" w14:textId="77777777" w:rsidR="004E57DE" w:rsidRDefault="004E57DE" w:rsidP="004E57DE">
      <w:pPr>
        <w:jc w:val="both"/>
      </w:pPr>
      <w:r>
        <w:t xml:space="preserve">Las entregas deberán realizarse de lunes a viernes de 7:10 am a 12:10 pm y de 1:00 pm a 3:00 pm. </w:t>
      </w:r>
    </w:p>
    <w:p w14:paraId="2910ECA5" w14:textId="77777777" w:rsidR="004E57DE" w:rsidRDefault="004E57DE" w:rsidP="004E57DE">
      <w:pPr>
        <w:jc w:val="both"/>
      </w:pPr>
      <w:r>
        <w:t>SEDAPAR no recibirá ni se responsabilizará de los bienes entregados fuera del horario de atención establecido.</w:t>
      </w:r>
    </w:p>
    <w:p w14:paraId="09533316" w14:textId="77777777" w:rsidR="004E57DE" w:rsidRDefault="004E57DE" w:rsidP="004E57DE">
      <w:pPr>
        <w:jc w:val="both"/>
      </w:pPr>
      <w:r>
        <w:t>El personal que realiza las entregas deberá contar con los implementos de seguridad industrial necesaria de acuerdo con lo que estipula la ley de Seguridad y Salud en el trabajo y su respectivo reglamento.</w:t>
      </w:r>
    </w:p>
    <w:p w14:paraId="57DB8EDC" w14:textId="77777777" w:rsidR="004E57DE" w:rsidRDefault="004E57DE" w:rsidP="004E57DE">
      <w:pPr>
        <w:jc w:val="both"/>
      </w:pPr>
      <w:r>
        <w:t>9.</w:t>
      </w:r>
      <w:r>
        <w:tab/>
        <w:t>SISTEMA DE ENTREGA</w:t>
      </w:r>
    </w:p>
    <w:p w14:paraId="1D046CC9" w14:textId="77777777" w:rsidR="004E57DE" w:rsidRDefault="004E57DE" w:rsidP="004E57DE">
      <w:pPr>
        <w:jc w:val="both"/>
      </w:pPr>
      <w:r>
        <w:t>En una sola entrega</w:t>
      </w:r>
    </w:p>
    <w:p w14:paraId="4DCE0CD9" w14:textId="77777777" w:rsidR="004E57DE" w:rsidRDefault="004E57DE" w:rsidP="004E57DE">
      <w:pPr>
        <w:jc w:val="both"/>
      </w:pPr>
      <w:r>
        <w:t>10.</w:t>
      </w:r>
      <w:r>
        <w:tab/>
        <w:t>FORMA DE PAGO</w:t>
      </w:r>
    </w:p>
    <w:p w14:paraId="74CFB2A7" w14:textId="77777777" w:rsidR="004E57DE" w:rsidRDefault="004E57DE" w:rsidP="004E57DE">
      <w:pPr>
        <w:jc w:val="both"/>
      </w:pPr>
      <w:r>
        <w:t>En una sola armada</w:t>
      </w:r>
    </w:p>
    <w:p w14:paraId="5F0597FE" w14:textId="77777777" w:rsidR="004E57DE" w:rsidRDefault="004E57DE" w:rsidP="004E57DE">
      <w:pPr>
        <w:jc w:val="both"/>
      </w:pPr>
      <w:r>
        <w:t>El pago se realiza en un plazo máximo de diez días hábiles luego de otorgada la conformidad por parte del área usuaria y es prorrogable, previa justificación de la demora, por cinco días hábiles.</w:t>
      </w:r>
    </w:p>
    <w:p w14:paraId="74A4D7B1" w14:textId="77777777" w:rsidR="004E57DE" w:rsidRDefault="004E57DE" w:rsidP="004E57DE">
      <w:pPr>
        <w:jc w:val="both"/>
      </w:pPr>
      <w:r>
        <w:t>11.</w:t>
      </w:r>
      <w:r>
        <w:tab/>
        <w:t xml:space="preserve">CONFORMIDAD </w:t>
      </w:r>
    </w:p>
    <w:p w14:paraId="72F39B22" w14:textId="77777777" w:rsidR="004E57DE" w:rsidRDefault="004E57DE" w:rsidP="004E57DE">
      <w:pPr>
        <w:jc w:val="both"/>
      </w:pPr>
      <w:r>
        <w:t>La conformidad será emitida por el técnico químico del Departamento de Control de Calidad y Efluentes.</w:t>
      </w:r>
    </w:p>
    <w:p w14:paraId="06934EAE" w14:textId="77777777" w:rsidR="004E57DE" w:rsidRDefault="004E57DE" w:rsidP="004E57DE">
      <w:pPr>
        <w:jc w:val="both"/>
      </w:pPr>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5C3E2F44" w14:textId="77777777" w:rsidR="004E57DE" w:rsidRDefault="004E57DE" w:rsidP="004E57DE">
      <w:pPr>
        <w:jc w:val="both"/>
      </w:pPr>
      <w:r>
        <w:t>12.</w:t>
      </w:r>
      <w:r>
        <w:tab/>
        <w:t>VICIOS OCULTOS</w:t>
      </w:r>
    </w:p>
    <w:p w14:paraId="58A83D89" w14:textId="77777777" w:rsidR="004E57DE" w:rsidRDefault="004E57DE" w:rsidP="004E57DE">
      <w:pPr>
        <w:jc w:val="both"/>
      </w:pPr>
      <w:r>
        <w:t xml:space="preserve">La recepción conforme de la prestación por parte de LA ENTIDAD CONTRATANTE no enerva su derecho a reclamar posteriormente por defectos o vicios ocultos, conforme a lo dispuesto por los artículos 69 de la Ley </w:t>
      </w:r>
      <w:proofErr w:type="spellStart"/>
      <w:r>
        <w:t>N°</w:t>
      </w:r>
      <w:proofErr w:type="spellEnd"/>
      <w:r>
        <w:t xml:space="preserve"> 32069, Ley General de Contrataciones Públicas y el artículo 144 de su Reglamento.</w:t>
      </w:r>
    </w:p>
    <w:p w14:paraId="494D97F2" w14:textId="77777777" w:rsidR="004E57DE" w:rsidRDefault="004E57DE" w:rsidP="004E57DE">
      <w:pPr>
        <w:jc w:val="both"/>
      </w:pPr>
      <w:r>
        <w:t>13.</w:t>
      </w:r>
      <w:r>
        <w:tab/>
        <w:t>PENALIDADES</w:t>
      </w:r>
    </w:p>
    <w:p w14:paraId="40CAFD53" w14:textId="77777777" w:rsidR="004E57DE" w:rsidRDefault="004E57DE" w:rsidP="004E57DE">
      <w:pPr>
        <w:jc w:val="both"/>
      </w:pPr>
    </w:p>
    <w:p w14:paraId="46652DE5" w14:textId="77777777" w:rsidR="004E57DE" w:rsidRDefault="004E57DE" w:rsidP="004E57DE">
      <w:pPr>
        <w:jc w:val="both"/>
      </w:pPr>
      <w:r>
        <w:t>13.1</w:t>
      </w:r>
      <w:r>
        <w:tab/>
        <w:t xml:space="preserve">PENALIDAD POR MORA EN LA EJECUCIÓN </w:t>
      </w:r>
    </w:p>
    <w:p w14:paraId="329E94BE" w14:textId="77777777" w:rsidR="004E57DE" w:rsidRDefault="004E57DE" w:rsidP="004E57DE">
      <w:pPr>
        <w:jc w:val="both"/>
      </w:pPr>
    </w:p>
    <w:p w14:paraId="08BCFBBE" w14:textId="77777777" w:rsidR="004E57DE" w:rsidRDefault="004E57DE" w:rsidP="004E57DE">
      <w:pPr>
        <w:jc w:val="both"/>
      </w:pPr>
      <w:r>
        <w:t>Artículo 120 del Reglamento</w:t>
      </w:r>
    </w:p>
    <w:p w14:paraId="55125CC6" w14:textId="77777777" w:rsidR="004E57DE" w:rsidRDefault="004E57DE" w:rsidP="004E57DE">
      <w:pPr>
        <w:jc w:val="both"/>
      </w:pPr>
      <w:r>
        <w:t>Penalidad por Mora en la ejecución de la prestación:</w:t>
      </w:r>
    </w:p>
    <w:p w14:paraId="3C7DECF9" w14:textId="77777777" w:rsidR="004E57DE" w:rsidRDefault="004E57DE" w:rsidP="004E57DE">
      <w:pPr>
        <w:jc w:val="both"/>
      </w:pPr>
      <w:r>
        <w:t xml:space="preserve">En caso de retraso injustificado del proveedor en la ejecución de las prestaciones objeto del contrato, la Entidad le aplica automáticamente una penalidad por mora por cada día de atraso que le sea imputable. </w:t>
      </w:r>
    </w:p>
    <w:p w14:paraId="45F8EC84" w14:textId="77777777" w:rsidR="004E57DE" w:rsidRDefault="004E57DE" w:rsidP="004E57DE">
      <w:pPr>
        <w:jc w:val="both"/>
      </w:pPr>
      <w:r>
        <w:t>La penalidad se aplica automáticamente y se calcula de acuerdo con la siguiente fórmula: Penalidad diaria = 0.10 x monto</w:t>
      </w:r>
    </w:p>
    <w:p w14:paraId="7996588B" w14:textId="77777777" w:rsidR="004E57DE" w:rsidRDefault="004E57DE" w:rsidP="004E57DE">
      <w:pPr>
        <w:jc w:val="both"/>
      </w:pPr>
      <w:r>
        <w:t xml:space="preserve">                            F x plazo en días </w:t>
      </w:r>
    </w:p>
    <w:p w14:paraId="17CFCF79" w14:textId="77777777" w:rsidR="004E57DE" w:rsidRDefault="004E57DE" w:rsidP="004E57DE">
      <w:pPr>
        <w:jc w:val="both"/>
      </w:pPr>
      <w:r>
        <w:t>Donde F tiene los siguientes valores:</w:t>
      </w:r>
    </w:p>
    <w:p w14:paraId="1A571BEB" w14:textId="77777777" w:rsidR="004E57DE" w:rsidRDefault="004E57DE" w:rsidP="004E57DE">
      <w:pPr>
        <w:jc w:val="both"/>
      </w:pPr>
      <w:r>
        <w:t>Para bienes y servicios: F = 0.40.</w:t>
      </w:r>
    </w:p>
    <w:p w14:paraId="1AD6BA60" w14:textId="77777777" w:rsidR="004E57DE" w:rsidRDefault="004E57DE" w:rsidP="004E57DE">
      <w:pPr>
        <w:jc w:val="both"/>
      </w:pPr>
      <w:r>
        <w:t>Para obras:</w:t>
      </w:r>
    </w:p>
    <w:p w14:paraId="3AB8AA99" w14:textId="77777777" w:rsidR="004E57DE" w:rsidRDefault="004E57DE" w:rsidP="004E57DE">
      <w:pPr>
        <w:jc w:val="both"/>
      </w:pPr>
      <w:r>
        <w:t>a)</w:t>
      </w:r>
      <w:r>
        <w:tab/>
        <w:t>Para plazos menores o iguales a sesenta días: F = 0.40</w:t>
      </w:r>
    </w:p>
    <w:p w14:paraId="5975927C" w14:textId="77777777" w:rsidR="004E57DE" w:rsidRDefault="004E57DE" w:rsidP="004E57DE">
      <w:pPr>
        <w:jc w:val="both"/>
      </w:pPr>
      <w:r>
        <w:t>b)</w:t>
      </w:r>
      <w:r>
        <w:tab/>
        <w:t>Para plazos entre sesenta y uno a ciento veinte días: F = 0.25</w:t>
      </w:r>
    </w:p>
    <w:p w14:paraId="0E819643" w14:textId="77777777" w:rsidR="004E57DE" w:rsidRDefault="004E57DE" w:rsidP="004E57DE">
      <w:pPr>
        <w:jc w:val="both"/>
      </w:pPr>
      <w:r>
        <w:t>c)</w:t>
      </w:r>
      <w:r>
        <w:tab/>
        <w:t>Para plazos mayores a ciento veinte días: F = 0.15</w:t>
      </w:r>
    </w:p>
    <w:p w14:paraId="1C6E3B72" w14:textId="77777777" w:rsidR="004E57DE" w:rsidRDefault="004E57DE" w:rsidP="004E57DE">
      <w:pPr>
        <w:jc w:val="both"/>
      </w:pPr>
      <w:r>
        <w:t xml:space="preserve">Para consultorías de obras: </w:t>
      </w:r>
    </w:p>
    <w:p w14:paraId="4BEB333E" w14:textId="77777777" w:rsidR="004E57DE" w:rsidRDefault="004E57DE" w:rsidP="004E57DE">
      <w:pPr>
        <w:jc w:val="both"/>
      </w:pPr>
      <w:r>
        <w:t>a)</w:t>
      </w:r>
      <w:r>
        <w:tab/>
        <w:t>Para plazos menores o iguales a sesenta días: F = 0.40</w:t>
      </w:r>
    </w:p>
    <w:p w14:paraId="1919BF85" w14:textId="77777777" w:rsidR="004E57DE" w:rsidRDefault="004E57DE" w:rsidP="004E57DE">
      <w:pPr>
        <w:jc w:val="both"/>
      </w:pPr>
      <w:r>
        <w:t>b)</w:t>
      </w:r>
      <w:r>
        <w:tab/>
        <w:t>Para plazos mayores a sesenta días: F = 0.25</w:t>
      </w:r>
    </w:p>
    <w:p w14:paraId="0BD51DAC" w14:textId="77777777" w:rsidR="004E57DE" w:rsidRDefault="004E57DE" w:rsidP="004E57DE">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9E0067C" w14:textId="77777777" w:rsidR="004E57DE" w:rsidRDefault="004E57DE" w:rsidP="004E57DE">
      <w:pPr>
        <w:jc w:val="both"/>
      </w:pPr>
      <w:r>
        <w:t>En el caso de sistemas de entrega de obra y consultoría de obra que contenga más de un componente el monto y plazo corresponde al componente que se ejecuta.</w:t>
      </w:r>
    </w:p>
    <w:p w14:paraId="726582F5" w14:textId="77777777" w:rsidR="004E57DE" w:rsidRDefault="004E57DE" w:rsidP="004E57DE">
      <w:pPr>
        <w:jc w:val="both"/>
      </w:pPr>
      <w:r>
        <w:t>En caso no sea posible cuantificar el monto de la prestación materia de retraso, la entidad contratante establece en las bases la penalidad a aplicar.</w:t>
      </w:r>
    </w:p>
    <w:p w14:paraId="3B5DEEE2" w14:textId="77777777" w:rsidR="004E57DE" w:rsidRDefault="004E57DE" w:rsidP="004E57DE">
      <w:pPr>
        <w:jc w:val="both"/>
      </w:pPr>
      <w:r>
        <w:t xml:space="preserve">El retraso se justifica a través de la solicitud de ampliación de plazo debidamente aprobada. Adicionalmente, se considera justificado el retraso y en consecuencia no se aplica penalidad, cuando el contratista acredite, de modo objetivamente </w:t>
      </w:r>
      <w:r>
        <w:lastRenderedPageBreak/>
        <w:t>sustentado, que el mayor tiempo transcurrido no le resulta imputable. En este último caso, la calificación del retraso como justificado por parte de la entidad contratante no da lugar al pago de gastos generales ni costos directos de ningún tipo.</w:t>
      </w:r>
    </w:p>
    <w:p w14:paraId="1DA233F0" w14:textId="77777777" w:rsidR="004E57DE" w:rsidRDefault="004E57DE" w:rsidP="004E57DE">
      <w:pPr>
        <w:jc w:val="both"/>
      </w:pPr>
    </w:p>
    <w:p w14:paraId="72AF3DE0" w14:textId="77777777" w:rsidR="004E57DE" w:rsidRDefault="004E57DE" w:rsidP="004E57DE">
      <w:pPr>
        <w:jc w:val="both"/>
      </w:pPr>
      <w:r>
        <w:t>14.</w:t>
      </w:r>
      <w:r>
        <w:tab/>
        <w:t>CLAUSULA ANTICORRUPCIÓN Y ANTISOBORNO</w:t>
      </w:r>
    </w:p>
    <w:p w14:paraId="47E5A359" w14:textId="77777777" w:rsidR="004E57DE" w:rsidRDefault="004E57DE" w:rsidP="004E57DE">
      <w:pPr>
        <w:jc w:val="both"/>
      </w:pPr>
    </w:p>
    <w:p w14:paraId="4FB8799A" w14:textId="77777777" w:rsidR="004E57DE" w:rsidRDefault="004E57DE" w:rsidP="004E57DE">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731DF4D7" w14:textId="77777777" w:rsidR="004E57DE" w:rsidRDefault="004E57DE" w:rsidP="004E57DE">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F46CB86" w14:textId="77777777" w:rsidR="004E57DE" w:rsidRDefault="004E57DE" w:rsidP="004E57DE">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9FAB16A" w14:textId="77777777" w:rsidR="004E57DE" w:rsidRDefault="004E57DE" w:rsidP="004E57DE">
      <w:pPr>
        <w:jc w:val="both"/>
      </w:pPr>
      <w:r>
        <w:t>Adicionalmente, EL CONTRATISTA se compromete a denunciar oportunamente ante las autoridades competentes los actos de corrupción o de inconducta funcional de los cuales tuviera conocimiento durante la ejecución del contrato con LA ENTIDAD CONTRATANTE.</w:t>
      </w:r>
    </w:p>
    <w:p w14:paraId="61751243" w14:textId="77777777" w:rsidR="004E57DE" w:rsidRDefault="004E57DE" w:rsidP="004E57DE">
      <w:pPr>
        <w:jc w:val="both"/>
      </w:pPr>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34A7D9D" w14:textId="77777777" w:rsidR="004E57DE" w:rsidRDefault="004E57DE" w:rsidP="004E57DE">
      <w:pPr>
        <w:jc w:val="both"/>
      </w:pPr>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w:t>
      </w:r>
      <w:r>
        <w:lastRenderedPageBreak/>
        <w:t xml:space="preserve">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3BC1D1BE" w14:textId="77777777" w:rsidR="004E57DE" w:rsidRDefault="004E57DE" w:rsidP="004E57DE">
      <w:pPr>
        <w:jc w:val="both"/>
      </w:pPr>
      <w:r>
        <w:t>15.</w:t>
      </w:r>
      <w:r>
        <w:tab/>
        <w:t>SOLUCIÓN DE CONTROVERSIAS</w:t>
      </w:r>
    </w:p>
    <w:p w14:paraId="15983A78" w14:textId="77777777" w:rsidR="004E57DE" w:rsidRDefault="004E57DE" w:rsidP="004E57DE">
      <w:pPr>
        <w:jc w:val="both"/>
      </w:pPr>
      <w:r>
        <w:t xml:space="preserve">La solución de controversias será a través Centro de Conciliación designado por las partes. </w:t>
      </w:r>
    </w:p>
    <w:p w14:paraId="0C07DC46" w14:textId="77777777" w:rsidR="004E57DE" w:rsidRDefault="004E57DE" w:rsidP="004E57DE">
      <w:pPr>
        <w:jc w:val="both"/>
      </w:pPr>
    </w:p>
    <w:p w14:paraId="249A1245" w14:textId="77777777" w:rsidR="004E57DE" w:rsidRDefault="004E57DE" w:rsidP="004E57DE">
      <w:pPr>
        <w:jc w:val="both"/>
      </w:pPr>
      <w:r>
        <w:t>16.</w:t>
      </w:r>
      <w:r>
        <w:tab/>
        <w:t xml:space="preserve">RESOLUCIÓN DE CONTRATO POR INCUMPLIMIENTO </w:t>
      </w:r>
    </w:p>
    <w:p w14:paraId="45BB9451" w14:textId="77777777" w:rsidR="004E57DE" w:rsidRDefault="004E57DE" w:rsidP="004E57DE">
      <w:pPr>
        <w:jc w:val="both"/>
      </w:pPr>
    </w:p>
    <w:p w14:paraId="4835CA8E" w14:textId="77777777" w:rsidR="004E57DE" w:rsidRDefault="004E57DE" w:rsidP="004E57DE">
      <w:pPr>
        <w:jc w:val="both"/>
      </w:pPr>
      <w:r>
        <w:t>Se aplicará el Artículo 122 del Sub Capitulo III Incumplimiento del contrato del Capitulo V Disposiciones generales de ejecución contractual para bienes y servicios del Reglamento de la Ley General de Contratación Públicas</w:t>
      </w:r>
    </w:p>
    <w:p w14:paraId="52A88F56" w14:textId="77777777" w:rsidR="004E57DE" w:rsidRDefault="004E57DE" w:rsidP="004E57DE">
      <w:pPr>
        <w:jc w:val="both"/>
      </w:pPr>
    </w:p>
    <w:p w14:paraId="278FC9B5" w14:textId="77777777" w:rsidR="004E57DE" w:rsidRDefault="004E57DE" w:rsidP="004E57DE">
      <w:pPr>
        <w:jc w:val="both"/>
      </w:pPr>
      <w:r>
        <w:t>17.</w:t>
      </w:r>
      <w:r>
        <w:tab/>
        <w:t>GESTIÓN DE RIESGOS</w:t>
      </w:r>
    </w:p>
    <w:p w14:paraId="5239FB12" w14:textId="77777777" w:rsidR="004E57DE" w:rsidRDefault="004E57DE" w:rsidP="004E57DE">
      <w:pPr>
        <w:jc w:val="both"/>
      </w:pPr>
    </w:p>
    <w:p w14:paraId="6B94A1B3" w14:textId="1561C4F9" w:rsidR="004E57DE" w:rsidRDefault="004E57DE" w:rsidP="004E57DE">
      <w:pPr>
        <w:jc w:val="both"/>
      </w:pPr>
      <w:r>
        <w:t>Para bienes: Conforme al artículo 128 del Reglamento la NO adquisición de este bien puede ocasionar desabastecimiento afectando las labores de este departamento</w:t>
      </w:r>
    </w:p>
    <w:p w14:paraId="3EACB1A1" w14:textId="77777777" w:rsidR="004E57DE" w:rsidRDefault="004E57DE" w:rsidP="004E57DE">
      <w:pPr>
        <w:jc w:val="both"/>
      </w:pPr>
    </w:p>
    <w:p w14:paraId="3778183B" w14:textId="77777777" w:rsidR="004E57DE" w:rsidRDefault="004E57DE" w:rsidP="004E57DE">
      <w:pPr>
        <w:jc w:val="both"/>
      </w:pPr>
    </w:p>
    <w:p w14:paraId="4A471F56" w14:textId="77777777" w:rsidR="004E57DE" w:rsidRDefault="004E57DE" w:rsidP="004E57DE">
      <w:pPr>
        <w:jc w:val="both"/>
      </w:pPr>
    </w:p>
    <w:p w14:paraId="3A0F78DA" w14:textId="77777777" w:rsidR="004E57DE" w:rsidRDefault="004E57DE" w:rsidP="004E57DE">
      <w:pPr>
        <w:jc w:val="both"/>
      </w:pPr>
    </w:p>
    <w:p w14:paraId="47AAE194" w14:textId="77777777" w:rsidR="004E57DE" w:rsidRDefault="004E57DE" w:rsidP="004E57DE">
      <w:pPr>
        <w:jc w:val="both"/>
      </w:pPr>
    </w:p>
    <w:p w14:paraId="74A85191" w14:textId="77777777" w:rsidR="004E57DE" w:rsidRDefault="004E57DE" w:rsidP="004E57DE">
      <w:pPr>
        <w:jc w:val="both"/>
      </w:pPr>
    </w:p>
    <w:p w14:paraId="670C9AAA" w14:textId="77777777" w:rsidR="004E57DE" w:rsidRDefault="004E57DE" w:rsidP="004E57DE">
      <w:pPr>
        <w:jc w:val="both"/>
      </w:pPr>
    </w:p>
    <w:p w14:paraId="468B3E26" w14:textId="77777777" w:rsidR="004E57DE" w:rsidRDefault="004E57DE" w:rsidP="004E57DE">
      <w:pPr>
        <w:jc w:val="both"/>
      </w:pPr>
    </w:p>
    <w:p w14:paraId="2352FBFA" w14:textId="77777777" w:rsidR="004E57DE" w:rsidRDefault="004E57DE" w:rsidP="004E57DE">
      <w:pPr>
        <w:jc w:val="both"/>
      </w:pPr>
    </w:p>
    <w:p w14:paraId="3781568D" w14:textId="77777777" w:rsidR="004E57DE" w:rsidRDefault="004E57DE" w:rsidP="004E57DE">
      <w:pPr>
        <w:jc w:val="both"/>
      </w:pPr>
    </w:p>
    <w:p w14:paraId="2C444D58" w14:textId="77777777" w:rsidR="004E57DE" w:rsidRDefault="004E57DE" w:rsidP="004E57DE">
      <w:pPr>
        <w:jc w:val="both"/>
        <w:sectPr w:rsidR="004E57DE">
          <w:pgSz w:w="11906" w:h="16838"/>
          <w:pgMar w:top="1417" w:right="1701" w:bottom="1417" w:left="1701" w:header="708" w:footer="708" w:gutter="0"/>
          <w:cols w:space="708"/>
          <w:docGrid w:linePitch="360"/>
        </w:sectPr>
      </w:pPr>
    </w:p>
    <w:p w14:paraId="3CD0AB31" w14:textId="3822AAF0" w:rsidR="004E57DE" w:rsidRDefault="004E57DE" w:rsidP="004E57DE">
      <w:pPr>
        <w:jc w:val="both"/>
      </w:pPr>
      <w:r>
        <w:rPr>
          <w:noProof/>
        </w:rPr>
        <w:lastRenderedPageBreak/>
        <w:drawing>
          <wp:anchor distT="0" distB="0" distL="114300" distR="114300" simplePos="0" relativeHeight="251658240" behindDoc="0" locked="0" layoutInCell="1" allowOverlap="1" wp14:anchorId="2504822B" wp14:editId="2059F2BC">
            <wp:simplePos x="0" y="0"/>
            <wp:positionH relativeFrom="margin">
              <wp:posOffset>-918846</wp:posOffset>
            </wp:positionH>
            <wp:positionV relativeFrom="paragraph">
              <wp:posOffset>-3810</wp:posOffset>
            </wp:positionV>
            <wp:extent cx="10619795" cy="4657725"/>
            <wp:effectExtent l="0" t="0" r="0" b="0"/>
            <wp:wrapNone/>
            <wp:docPr id="14594110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11058" name="Imagen 1459411058"/>
                    <pic:cNvPicPr/>
                  </pic:nvPicPr>
                  <pic:blipFill>
                    <a:blip r:embed="rId5">
                      <a:extLst>
                        <a:ext uri="{28A0092B-C50C-407E-A947-70E740481C1C}">
                          <a14:useLocalDpi xmlns:a14="http://schemas.microsoft.com/office/drawing/2010/main" val="0"/>
                        </a:ext>
                      </a:extLst>
                    </a:blip>
                    <a:stretch>
                      <a:fillRect/>
                    </a:stretch>
                  </pic:blipFill>
                  <pic:spPr>
                    <a:xfrm>
                      <a:off x="0" y="0"/>
                      <a:ext cx="10622512" cy="4658917"/>
                    </a:xfrm>
                    <a:prstGeom prst="rect">
                      <a:avLst/>
                    </a:prstGeom>
                  </pic:spPr>
                </pic:pic>
              </a:graphicData>
            </a:graphic>
            <wp14:sizeRelH relativeFrom="margin">
              <wp14:pctWidth>0</wp14:pctWidth>
            </wp14:sizeRelH>
            <wp14:sizeRelV relativeFrom="margin">
              <wp14:pctHeight>0</wp14:pctHeight>
            </wp14:sizeRelV>
          </wp:anchor>
        </w:drawing>
      </w:r>
    </w:p>
    <w:sectPr w:rsidR="004E57DE" w:rsidSect="004E57DE">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46C8D"/>
    <w:multiLevelType w:val="hybridMultilevel"/>
    <w:tmpl w:val="29B46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57609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DE"/>
    <w:rsid w:val="00306B8C"/>
    <w:rsid w:val="0031470F"/>
    <w:rsid w:val="004E57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D3B5E"/>
  <w15:chartTrackingRefBased/>
  <w15:docId w15:val="{6460737B-3809-4D0C-9035-B1F5BE184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E57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E57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57D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57D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57D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57D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57D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57D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57D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57D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E57D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57D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57D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57D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57D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57D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57D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57DE"/>
    <w:rPr>
      <w:rFonts w:eastAsiaTheme="majorEastAsia" w:cstheme="majorBidi"/>
      <w:color w:val="272727" w:themeColor="text1" w:themeTint="D8"/>
    </w:rPr>
  </w:style>
  <w:style w:type="paragraph" w:styleId="Ttulo">
    <w:name w:val="Title"/>
    <w:basedOn w:val="Normal"/>
    <w:next w:val="Normal"/>
    <w:link w:val="TtuloCar"/>
    <w:uiPriority w:val="10"/>
    <w:qFormat/>
    <w:rsid w:val="004E5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57D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57D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57D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57DE"/>
    <w:pPr>
      <w:spacing w:before="160"/>
      <w:jc w:val="center"/>
    </w:pPr>
    <w:rPr>
      <w:i/>
      <w:iCs/>
      <w:color w:val="404040" w:themeColor="text1" w:themeTint="BF"/>
    </w:rPr>
  </w:style>
  <w:style w:type="character" w:customStyle="1" w:styleId="CitaCar">
    <w:name w:val="Cita Car"/>
    <w:basedOn w:val="Fuentedeprrafopredeter"/>
    <w:link w:val="Cita"/>
    <w:uiPriority w:val="29"/>
    <w:rsid w:val="004E57DE"/>
    <w:rPr>
      <w:i/>
      <w:iCs/>
      <w:color w:val="404040" w:themeColor="text1" w:themeTint="BF"/>
    </w:rPr>
  </w:style>
  <w:style w:type="paragraph" w:styleId="Prrafodelista">
    <w:name w:val="List Paragraph"/>
    <w:basedOn w:val="Normal"/>
    <w:uiPriority w:val="34"/>
    <w:qFormat/>
    <w:rsid w:val="004E57DE"/>
    <w:pPr>
      <w:ind w:left="720"/>
      <w:contextualSpacing/>
    </w:pPr>
  </w:style>
  <w:style w:type="character" w:styleId="nfasisintenso">
    <w:name w:val="Intense Emphasis"/>
    <w:basedOn w:val="Fuentedeprrafopredeter"/>
    <w:uiPriority w:val="21"/>
    <w:qFormat/>
    <w:rsid w:val="004E57DE"/>
    <w:rPr>
      <w:i/>
      <w:iCs/>
      <w:color w:val="0F4761" w:themeColor="accent1" w:themeShade="BF"/>
    </w:rPr>
  </w:style>
  <w:style w:type="paragraph" w:styleId="Citadestacada">
    <w:name w:val="Intense Quote"/>
    <w:basedOn w:val="Normal"/>
    <w:next w:val="Normal"/>
    <w:link w:val="CitadestacadaCar"/>
    <w:uiPriority w:val="30"/>
    <w:qFormat/>
    <w:rsid w:val="004E57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57DE"/>
    <w:rPr>
      <w:i/>
      <w:iCs/>
      <w:color w:val="0F4761" w:themeColor="accent1" w:themeShade="BF"/>
    </w:rPr>
  </w:style>
  <w:style w:type="character" w:styleId="Referenciaintensa">
    <w:name w:val="Intense Reference"/>
    <w:basedOn w:val="Fuentedeprrafopredeter"/>
    <w:uiPriority w:val="32"/>
    <w:qFormat/>
    <w:rsid w:val="004E57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1204</Words>
  <Characters>6627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Quispe Zapata</dc:creator>
  <cp:keywords/>
  <dc:description/>
  <cp:lastModifiedBy>Fernando Quispe Zapata</cp:lastModifiedBy>
  <cp:revision>1</cp:revision>
  <dcterms:created xsi:type="dcterms:W3CDTF">2026-06-05T18:23:00Z</dcterms:created>
  <dcterms:modified xsi:type="dcterms:W3CDTF">2026-06-05T18:33:00Z</dcterms:modified>
</cp:coreProperties>
</file>