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7C0728FF" w14:textId="2727EACC" w:rsidR="0022798F" w:rsidRDefault="0022798F" w:rsidP="0022798F">
      <w:pPr>
        <w:pStyle w:val="Prrafodelista"/>
        <w:numPr>
          <w:ilvl w:val="0"/>
          <w:numId w:val="11"/>
        </w:numPr>
        <w:ind w:left="284" w:hanging="284"/>
        <w:jc w:val="both"/>
        <w:rPr>
          <w:rFonts w:ascii="Arial" w:hAnsi="Arial" w:cs="Arial"/>
          <w:b/>
          <w:bCs/>
          <w:i/>
          <w:color w:val="000000" w:themeColor="text1"/>
          <w:sz w:val="20"/>
        </w:rPr>
      </w:pPr>
      <w:r w:rsidRPr="0022798F">
        <w:rPr>
          <w:rFonts w:ascii="Arial" w:hAnsi="Arial" w:cs="Arial"/>
          <w:b/>
          <w:bCs/>
          <w:i/>
          <w:color w:val="000000" w:themeColor="text1"/>
          <w:sz w:val="20"/>
        </w:rPr>
        <w:t>Adjuntar documentación acreditando que el proveedor cuenta con Autorización vigente emitida por la SBS, de conformidad con lo señalado en los términos de referencia.</w:t>
      </w:r>
    </w:p>
    <w:p w14:paraId="5539E285" w14:textId="77777777" w:rsidR="0022798F" w:rsidRPr="0022798F" w:rsidRDefault="0022798F" w:rsidP="0022798F">
      <w:pPr>
        <w:pStyle w:val="Prrafodelista"/>
        <w:rPr>
          <w:rFonts w:ascii="Arial" w:hAnsi="Arial" w:cs="Arial"/>
          <w:b/>
          <w:bCs/>
          <w:i/>
          <w:color w:val="000000" w:themeColor="text1"/>
          <w:sz w:val="20"/>
        </w:rPr>
      </w:pPr>
    </w:p>
    <w:p w14:paraId="4C2226DE" w14:textId="77777777" w:rsidR="0022798F" w:rsidRPr="0022798F" w:rsidRDefault="0022798F" w:rsidP="0022798F">
      <w:pPr>
        <w:pStyle w:val="Prrafodelista"/>
        <w:ind w:left="284"/>
        <w:jc w:val="both"/>
        <w:rPr>
          <w:rFonts w:ascii="Arial" w:hAnsi="Arial" w:cs="Arial"/>
          <w:b/>
          <w:bCs/>
          <w:i/>
          <w:color w:val="000000" w:themeColor="text1"/>
          <w:sz w:val="20"/>
        </w:rPr>
      </w:pPr>
    </w:p>
    <w:p w14:paraId="39BCAF41" w14:textId="22FE1938" w:rsidR="0022798F" w:rsidRDefault="0022798F" w:rsidP="0022798F">
      <w:pPr>
        <w:pStyle w:val="Prrafodelista"/>
        <w:numPr>
          <w:ilvl w:val="0"/>
          <w:numId w:val="11"/>
        </w:numPr>
        <w:ind w:left="284" w:hanging="284"/>
        <w:jc w:val="both"/>
        <w:rPr>
          <w:rFonts w:ascii="Arial" w:hAnsi="Arial" w:cs="Arial"/>
          <w:b/>
          <w:bCs/>
          <w:i/>
          <w:color w:val="000000" w:themeColor="text1"/>
          <w:sz w:val="20"/>
        </w:rPr>
      </w:pPr>
      <w:r w:rsidRPr="0022798F">
        <w:rPr>
          <w:rFonts w:ascii="Arial" w:hAnsi="Arial" w:cs="Arial"/>
          <w:b/>
          <w:bCs/>
          <w:i/>
          <w:color w:val="000000" w:themeColor="text1"/>
          <w:sz w:val="20"/>
        </w:rPr>
        <w:t>El proveedor deberá presentar una carta de compromiso donde garantice la asignación de un sectorista o ejecutivo de cuenta que estará a cargo del manejo exclusivo de la cuenta de la Superintendencia de Banca, Seguros y Administradoras Privadas de Fondos de Pensiones, comprometiéndose a proporcionar la información de contacto detallada de dicho personal para el perfeccionamiento del contrato.</w:t>
      </w:r>
    </w:p>
    <w:p w14:paraId="150F96AF" w14:textId="77777777" w:rsidR="0022798F" w:rsidRPr="0022798F" w:rsidRDefault="0022798F" w:rsidP="0022798F">
      <w:pPr>
        <w:pStyle w:val="Prrafodelista"/>
        <w:ind w:left="284"/>
        <w:jc w:val="both"/>
        <w:rPr>
          <w:rFonts w:ascii="Arial" w:hAnsi="Arial" w:cs="Arial"/>
          <w:b/>
          <w:bCs/>
          <w:i/>
          <w:color w:val="000000" w:themeColor="text1"/>
          <w:sz w:val="20"/>
        </w:rPr>
      </w:pPr>
    </w:p>
    <w:p w14:paraId="169C2AC1" w14:textId="2E76338C" w:rsidR="0022798F" w:rsidRDefault="0022798F" w:rsidP="0022798F">
      <w:pPr>
        <w:pStyle w:val="Prrafodelista"/>
        <w:numPr>
          <w:ilvl w:val="0"/>
          <w:numId w:val="11"/>
        </w:numPr>
        <w:ind w:left="284" w:hanging="284"/>
        <w:jc w:val="both"/>
        <w:rPr>
          <w:rFonts w:ascii="Arial" w:hAnsi="Arial" w:cs="Arial"/>
          <w:b/>
          <w:bCs/>
          <w:i/>
          <w:color w:val="000000" w:themeColor="text1"/>
          <w:sz w:val="20"/>
        </w:rPr>
      </w:pPr>
      <w:r w:rsidRPr="0022798F">
        <w:rPr>
          <w:rFonts w:ascii="Arial" w:hAnsi="Arial" w:cs="Arial"/>
          <w:b/>
          <w:bCs/>
          <w:i/>
          <w:color w:val="000000" w:themeColor="text1"/>
          <w:sz w:val="20"/>
        </w:rPr>
        <w:t>El proveedor deberá presentar una declaración formal indicando la tasa comercial mensual y la prima mínima mensual por cada póliza solicitada, de conformidad con lo señalado en los términos de referencia.</w:t>
      </w:r>
    </w:p>
    <w:p w14:paraId="0CEFC692" w14:textId="77777777" w:rsidR="0022798F" w:rsidRPr="0022798F" w:rsidRDefault="0022798F" w:rsidP="0022798F">
      <w:pPr>
        <w:pStyle w:val="Prrafodelista"/>
        <w:rPr>
          <w:rFonts w:ascii="Arial" w:hAnsi="Arial" w:cs="Arial"/>
          <w:b/>
          <w:bCs/>
          <w:i/>
          <w:color w:val="000000" w:themeColor="text1"/>
          <w:sz w:val="20"/>
        </w:rPr>
      </w:pPr>
    </w:p>
    <w:p w14:paraId="6EAA0E34" w14:textId="77777777" w:rsidR="0022798F" w:rsidRPr="0022798F" w:rsidRDefault="0022798F" w:rsidP="0022798F">
      <w:pPr>
        <w:pStyle w:val="Prrafodelista"/>
        <w:ind w:left="284"/>
        <w:jc w:val="both"/>
        <w:rPr>
          <w:rFonts w:ascii="Arial" w:hAnsi="Arial" w:cs="Arial"/>
          <w:b/>
          <w:bCs/>
          <w:i/>
          <w:color w:val="000000" w:themeColor="text1"/>
          <w:sz w:val="20"/>
        </w:rPr>
      </w:pPr>
    </w:p>
    <w:p w14:paraId="0020F54D" w14:textId="0CB0D98D" w:rsidR="0022798F" w:rsidRDefault="0022798F" w:rsidP="0022798F">
      <w:pPr>
        <w:pStyle w:val="Prrafodelista"/>
        <w:numPr>
          <w:ilvl w:val="0"/>
          <w:numId w:val="11"/>
        </w:numPr>
        <w:ind w:left="284" w:hanging="284"/>
        <w:jc w:val="both"/>
        <w:rPr>
          <w:rFonts w:ascii="Arial" w:hAnsi="Arial" w:cs="Arial"/>
          <w:b/>
          <w:bCs/>
          <w:i/>
          <w:color w:val="000000" w:themeColor="text1"/>
          <w:sz w:val="20"/>
        </w:rPr>
      </w:pPr>
      <w:r w:rsidRPr="0022798F">
        <w:rPr>
          <w:rFonts w:ascii="Arial" w:hAnsi="Arial" w:cs="Arial"/>
          <w:b/>
          <w:bCs/>
          <w:i/>
          <w:color w:val="000000" w:themeColor="text1"/>
          <w:sz w:val="20"/>
        </w:rPr>
        <w:t xml:space="preserve"> El proveedor deberá presentar una carta de compromiso garantizando que la emisión de las Pólizas y/o endosos se realizará dentro del primer mes de vigencia del seguro, y la emisión de constancias en un rango de veinticuatro (24) a cuarenta y ocho (48) horas, de conformidad con lo señalado en los términos de referencia.</w:t>
      </w:r>
    </w:p>
    <w:p w14:paraId="775B05D4" w14:textId="77777777" w:rsidR="0022798F" w:rsidRDefault="0022798F" w:rsidP="0022798F">
      <w:pPr>
        <w:pStyle w:val="Prrafodelista"/>
        <w:ind w:left="284"/>
        <w:jc w:val="both"/>
        <w:rPr>
          <w:rFonts w:ascii="Arial" w:hAnsi="Arial" w:cs="Arial"/>
          <w:b/>
          <w:bCs/>
          <w:i/>
          <w:color w:val="000000" w:themeColor="text1"/>
          <w:sz w:val="20"/>
        </w:rPr>
      </w:pPr>
    </w:p>
    <w:p w14:paraId="0B6F2D85" w14:textId="756380E5" w:rsidR="0022798F" w:rsidRDefault="0022798F" w:rsidP="0022798F">
      <w:pPr>
        <w:pStyle w:val="Prrafodelista"/>
        <w:numPr>
          <w:ilvl w:val="0"/>
          <w:numId w:val="11"/>
        </w:numPr>
        <w:ind w:left="284" w:hanging="284"/>
        <w:jc w:val="both"/>
        <w:rPr>
          <w:rFonts w:ascii="Arial" w:hAnsi="Arial" w:cs="Arial"/>
          <w:b/>
          <w:bCs/>
          <w:i/>
          <w:color w:val="000000" w:themeColor="text1"/>
          <w:sz w:val="20"/>
        </w:rPr>
      </w:pPr>
      <w:r w:rsidRPr="0022798F">
        <w:rPr>
          <w:rFonts w:ascii="Arial" w:hAnsi="Arial" w:cs="Arial"/>
          <w:b/>
          <w:bCs/>
          <w:i/>
          <w:color w:val="000000" w:themeColor="text1"/>
          <w:sz w:val="20"/>
        </w:rPr>
        <w:t xml:space="preserve"> El proveedor deberá presentar una carta de compromiso donde garantice la entrega oportuna de los reportes de siniestralidad, la cual se efectuará previa solicitud de la SBS, de manera directa o a través de su corredor de seguros.</w:t>
      </w:r>
    </w:p>
    <w:p w14:paraId="20B9B7E4" w14:textId="77777777" w:rsidR="0022798F" w:rsidRPr="0022798F" w:rsidRDefault="0022798F" w:rsidP="0022798F">
      <w:pPr>
        <w:pStyle w:val="Prrafodelista"/>
        <w:rPr>
          <w:rFonts w:ascii="Arial" w:hAnsi="Arial" w:cs="Arial"/>
          <w:b/>
          <w:bCs/>
          <w:i/>
          <w:color w:val="000000" w:themeColor="text1"/>
          <w:sz w:val="20"/>
        </w:rPr>
      </w:pPr>
    </w:p>
    <w:p w14:paraId="096271F0" w14:textId="77777777" w:rsidR="0022798F" w:rsidRPr="0022798F" w:rsidRDefault="0022798F" w:rsidP="0022798F">
      <w:pPr>
        <w:pStyle w:val="Prrafodelista"/>
        <w:ind w:left="284"/>
        <w:jc w:val="both"/>
        <w:rPr>
          <w:rFonts w:ascii="Arial" w:hAnsi="Arial" w:cs="Arial"/>
          <w:b/>
          <w:bCs/>
          <w:i/>
          <w:color w:val="000000" w:themeColor="text1"/>
          <w:sz w:val="20"/>
        </w:rPr>
      </w:pPr>
    </w:p>
    <w:p w14:paraId="4331F0AE" w14:textId="1EFB0395" w:rsidR="0022798F" w:rsidRDefault="0022798F" w:rsidP="0022798F">
      <w:pPr>
        <w:pStyle w:val="Prrafodelista"/>
        <w:numPr>
          <w:ilvl w:val="0"/>
          <w:numId w:val="11"/>
        </w:numPr>
        <w:ind w:left="284" w:hanging="284"/>
        <w:jc w:val="both"/>
        <w:rPr>
          <w:rFonts w:ascii="Arial" w:hAnsi="Arial" w:cs="Arial"/>
          <w:b/>
          <w:bCs/>
          <w:i/>
          <w:color w:val="000000" w:themeColor="text1"/>
          <w:sz w:val="20"/>
        </w:rPr>
      </w:pPr>
      <w:r w:rsidRPr="0022798F">
        <w:rPr>
          <w:rFonts w:ascii="Arial" w:hAnsi="Arial" w:cs="Arial"/>
          <w:b/>
          <w:bCs/>
          <w:i/>
          <w:color w:val="000000" w:themeColor="text1"/>
          <w:sz w:val="20"/>
        </w:rPr>
        <w:t xml:space="preserve"> El proveedor deberá presentar una carta de compromiso donde garantice el envío de los Estados de Cuenta mensuales a la SBS, previa solicitud de la institución, de manera directa o a través de su corredor de seguros.</w:t>
      </w:r>
    </w:p>
    <w:p w14:paraId="27326711" w14:textId="77777777" w:rsidR="0022798F" w:rsidRPr="0022798F" w:rsidRDefault="0022798F" w:rsidP="0022798F">
      <w:pPr>
        <w:pStyle w:val="Prrafodelista"/>
        <w:ind w:left="284"/>
        <w:jc w:val="both"/>
        <w:rPr>
          <w:rFonts w:ascii="Arial" w:hAnsi="Arial" w:cs="Arial"/>
          <w:b/>
          <w:bCs/>
          <w:i/>
          <w:color w:val="000000" w:themeColor="text1"/>
          <w:sz w:val="20"/>
        </w:rPr>
      </w:pPr>
    </w:p>
    <w:p w14:paraId="6DEB0F40" w14:textId="0E3EEEF0" w:rsidR="0022798F" w:rsidRDefault="0022798F" w:rsidP="0022798F">
      <w:pPr>
        <w:pStyle w:val="Prrafodelista"/>
        <w:numPr>
          <w:ilvl w:val="0"/>
          <w:numId w:val="11"/>
        </w:numPr>
        <w:ind w:left="284" w:hanging="284"/>
        <w:jc w:val="both"/>
        <w:rPr>
          <w:rFonts w:ascii="Arial" w:hAnsi="Arial" w:cs="Arial"/>
          <w:b/>
          <w:bCs/>
          <w:i/>
          <w:color w:val="000000" w:themeColor="text1"/>
          <w:sz w:val="20"/>
        </w:rPr>
      </w:pPr>
      <w:r w:rsidRPr="0022798F">
        <w:rPr>
          <w:rFonts w:ascii="Arial" w:hAnsi="Arial" w:cs="Arial"/>
          <w:b/>
          <w:bCs/>
          <w:i/>
          <w:color w:val="000000" w:themeColor="text1"/>
          <w:sz w:val="20"/>
        </w:rPr>
        <w:t xml:space="preserve"> El proveedor deberá presentar una declaración jurada o documentación que acredite que dentro de su relación de IPRESS incluye, como mínimo, una clínica en cada uno de los siguientes distritos: San Isidro, Pueblo Libre, Jesús María y Miraflores, garantizando la cercanía a las instalaciones de la SBS ubicadas en el distrito de San Isidro.</w:t>
      </w:r>
    </w:p>
    <w:p w14:paraId="68EDF24B" w14:textId="77777777" w:rsidR="0022798F" w:rsidRPr="0022798F" w:rsidRDefault="0022798F" w:rsidP="0022798F">
      <w:pPr>
        <w:pStyle w:val="Prrafodelista"/>
        <w:ind w:left="284"/>
        <w:jc w:val="both"/>
        <w:rPr>
          <w:rFonts w:ascii="Arial" w:hAnsi="Arial" w:cs="Arial"/>
          <w:b/>
          <w:bCs/>
          <w:i/>
          <w:color w:val="000000" w:themeColor="text1"/>
          <w:sz w:val="20"/>
        </w:rPr>
      </w:pPr>
    </w:p>
    <w:p w14:paraId="6DB5092D" w14:textId="6B79D393" w:rsidR="0022798F" w:rsidRPr="0022798F" w:rsidRDefault="0022798F" w:rsidP="0022798F">
      <w:pPr>
        <w:pStyle w:val="Prrafodelista"/>
        <w:numPr>
          <w:ilvl w:val="0"/>
          <w:numId w:val="11"/>
        </w:numPr>
        <w:ind w:left="284" w:hanging="284"/>
        <w:jc w:val="both"/>
        <w:rPr>
          <w:rFonts w:ascii="Arial" w:hAnsi="Arial" w:cs="Arial"/>
          <w:b/>
          <w:bCs/>
          <w:i/>
          <w:color w:val="000000" w:themeColor="text1"/>
          <w:sz w:val="20"/>
        </w:rPr>
      </w:pPr>
      <w:r w:rsidRPr="0022798F">
        <w:rPr>
          <w:rFonts w:ascii="Arial" w:hAnsi="Arial" w:cs="Arial"/>
          <w:b/>
          <w:bCs/>
          <w:i/>
          <w:color w:val="000000" w:themeColor="text1"/>
          <w:sz w:val="20"/>
        </w:rPr>
        <w:t xml:space="preserve"> El proveedor deberá presentar una carta de compromiso donde garantice el estricto cumplimiento de la Resolución S.B.S. </w:t>
      </w:r>
      <w:proofErr w:type="spellStart"/>
      <w:r w:rsidRPr="0022798F">
        <w:rPr>
          <w:rFonts w:ascii="Arial" w:hAnsi="Arial" w:cs="Arial"/>
          <w:b/>
          <w:bCs/>
          <w:i/>
          <w:color w:val="000000" w:themeColor="text1"/>
          <w:sz w:val="20"/>
        </w:rPr>
        <w:t>Nº</w:t>
      </w:r>
      <w:proofErr w:type="spellEnd"/>
      <w:r w:rsidRPr="0022798F">
        <w:rPr>
          <w:rFonts w:ascii="Arial" w:hAnsi="Arial" w:cs="Arial"/>
          <w:b/>
          <w:bCs/>
          <w:i/>
          <w:color w:val="000000" w:themeColor="text1"/>
          <w:sz w:val="20"/>
        </w:rPr>
        <w:t xml:space="preserve"> 3199-2013 (Reglamento de Transparencia de Información y Contratación de Seguros), declarando de forma expresa que no se reconocerá el derecho de emisión como un importe adicional a la prima comercial cobrada en cada póliza.</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B6507" w14:textId="77777777" w:rsidR="0031105C" w:rsidRDefault="0031105C">
      <w:r>
        <w:separator/>
      </w:r>
    </w:p>
  </w:endnote>
  <w:endnote w:type="continuationSeparator" w:id="0">
    <w:p w14:paraId="4EC816D7" w14:textId="77777777" w:rsidR="0031105C" w:rsidRDefault="00311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AD293" w14:textId="77777777" w:rsidR="0031105C" w:rsidRDefault="0031105C">
      <w:r>
        <w:separator/>
      </w:r>
    </w:p>
  </w:footnote>
  <w:footnote w:type="continuationSeparator" w:id="0">
    <w:p w14:paraId="5641FA6B" w14:textId="77777777" w:rsidR="0031105C" w:rsidRDefault="00311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98F"/>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32B"/>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105C"/>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5EF5"/>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430</Words>
  <Characters>2371</Characters>
  <Application>Microsoft Office Word</Application>
  <DocSecurity>0</DocSecurity>
  <Lines>19</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2796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2026-01-30T19:57:00Z</dcterms:created>
  <dcterms:modified xsi:type="dcterms:W3CDTF">2026-06-12T18:48:00Z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