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0"/>
      </w:tblGrid>
      <w:tr w:rsidR="001F15D2" w:rsidRPr="00E90A5B" w14:paraId="34A0973D" w14:textId="77777777" w:rsidTr="001F15D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7184270B" w14:textId="77777777" w:rsidR="001F15D2" w:rsidRPr="00E90A5B" w:rsidRDefault="001F15D2" w:rsidP="00494EB4">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4A09B57C" w:rsidR="001F15D2" w:rsidRPr="00E90A5B" w:rsidRDefault="001F15D2"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1F15D2" w:rsidRPr="00E90A5B" w:rsidRDefault="001F15D2"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1F15D2" w:rsidRPr="00E90A5B" w14:paraId="0FB96240" w14:textId="77777777" w:rsidTr="001F15D2">
        <w:trPr>
          <w:trHeight w:val="300"/>
        </w:trPr>
        <w:tc>
          <w:tcPr>
            <w:tcW w:w="567" w:type="dxa"/>
            <w:tcBorders>
              <w:top w:val="single" w:sz="6" w:space="0" w:color="auto"/>
              <w:left w:val="single" w:sz="6" w:space="0" w:color="auto"/>
              <w:bottom w:val="single" w:sz="6" w:space="0" w:color="auto"/>
              <w:right w:val="single" w:sz="6" w:space="0" w:color="auto"/>
            </w:tcBorders>
          </w:tcPr>
          <w:p w14:paraId="62E0EE01" w14:textId="5FE585D5" w:rsidR="001F15D2" w:rsidRPr="003D330F" w:rsidRDefault="001F15D2" w:rsidP="001F15D2">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0FD6D601" w14:textId="5DB869F9" w:rsidR="001F15D2" w:rsidRPr="003D330F" w:rsidRDefault="001F15D2" w:rsidP="00494EB4">
            <w:pPr>
              <w:widowControl w:val="0"/>
              <w:jc w:val="both"/>
              <w:rPr>
                <w:rFonts w:ascii="Arial" w:eastAsia="Times New Roman" w:hAnsi="Arial" w:cs="Arial"/>
                <w:color w:val="000000" w:themeColor="text1"/>
                <w:sz w:val="18"/>
                <w:lang w:eastAsia="en-US"/>
              </w:rPr>
            </w:pPr>
            <w:r w:rsidRPr="003D330F">
              <w:rPr>
                <w:rFonts w:ascii="Arial" w:eastAsia="Times New Roman" w:hAnsi="Arial" w:cs="Arial"/>
                <w:color w:val="000000" w:themeColor="text1"/>
                <w:sz w:val="18"/>
                <w:lang w:eastAsia="en-US"/>
              </w:rPr>
              <w:t> Tasación</w:t>
            </w:r>
            <w:r>
              <w:rPr>
                <w:rFonts w:ascii="Arial" w:eastAsia="Times New Roman" w:hAnsi="Arial" w:cs="Arial"/>
                <w:color w:val="000000" w:themeColor="text1"/>
                <w:sz w:val="18"/>
                <w:lang w:eastAsia="en-US"/>
              </w:rPr>
              <w:t xml:space="preserve"> de inmueble N°1 - </w:t>
            </w:r>
            <w:r w:rsidR="00FA5B28" w:rsidRPr="00FA5B28">
              <w:rPr>
                <w:rFonts w:ascii="Arial" w:eastAsia="Times New Roman" w:hAnsi="Arial" w:cs="Arial"/>
                <w:color w:val="000000" w:themeColor="text1"/>
                <w:sz w:val="18"/>
                <w:lang w:eastAsia="en-US"/>
              </w:rPr>
              <w:t>Centro Poblado Quilmaná, distrito de Quilmaná, provincia de Cañete, departamento de Lima</w:t>
            </w:r>
          </w:p>
        </w:tc>
        <w:tc>
          <w:tcPr>
            <w:tcW w:w="2260" w:type="dxa"/>
            <w:tcBorders>
              <w:top w:val="single" w:sz="6" w:space="0" w:color="auto"/>
              <w:left w:val="single" w:sz="6" w:space="0" w:color="auto"/>
              <w:bottom w:val="single" w:sz="6" w:space="0" w:color="auto"/>
              <w:right w:val="single" w:sz="6" w:space="0" w:color="auto"/>
            </w:tcBorders>
            <w:vAlign w:val="center"/>
            <w:hideMark/>
          </w:tcPr>
          <w:p w14:paraId="3FDCABD8" w14:textId="35689122" w:rsidR="001F15D2" w:rsidRPr="00E90A5B" w:rsidRDefault="001F15D2" w:rsidP="00494EB4">
            <w:pPr>
              <w:widowControl w:val="0"/>
              <w:jc w:val="both"/>
              <w:rPr>
                <w:rFonts w:ascii="Arial" w:eastAsia="Times New Roman" w:hAnsi="Arial" w:cs="Arial"/>
                <w:b/>
                <w:bCs/>
                <w:color w:val="000000" w:themeColor="text1"/>
                <w:sz w:val="18"/>
                <w:lang w:eastAsia="en-US"/>
              </w:rPr>
            </w:pPr>
          </w:p>
        </w:tc>
      </w:tr>
      <w:tr w:rsidR="001F15D2" w:rsidRPr="00E90A5B" w14:paraId="5ECCE470" w14:textId="77777777" w:rsidTr="001F15D2">
        <w:trPr>
          <w:trHeight w:val="300"/>
        </w:trPr>
        <w:tc>
          <w:tcPr>
            <w:tcW w:w="567" w:type="dxa"/>
            <w:tcBorders>
              <w:top w:val="single" w:sz="6" w:space="0" w:color="auto"/>
              <w:left w:val="single" w:sz="6" w:space="0" w:color="auto"/>
              <w:bottom w:val="single" w:sz="6" w:space="0" w:color="auto"/>
              <w:right w:val="single" w:sz="6" w:space="0" w:color="auto"/>
            </w:tcBorders>
          </w:tcPr>
          <w:p w14:paraId="2443565A" w14:textId="034C2A74" w:rsidR="001F15D2" w:rsidRPr="003D330F" w:rsidRDefault="001F15D2" w:rsidP="001F15D2">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2</w:t>
            </w:r>
          </w:p>
        </w:tc>
        <w:tc>
          <w:tcPr>
            <w:tcW w:w="6662" w:type="dxa"/>
            <w:tcBorders>
              <w:top w:val="single" w:sz="6" w:space="0" w:color="auto"/>
              <w:left w:val="single" w:sz="6" w:space="0" w:color="auto"/>
              <w:bottom w:val="single" w:sz="6" w:space="0" w:color="auto"/>
              <w:right w:val="single" w:sz="6" w:space="0" w:color="auto"/>
            </w:tcBorders>
            <w:vAlign w:val="center"/>
          </w:tcPr>
          <w:p w14:paraId="16E41987" w14:textId="2FA116B3" w:rsidR="001F15D2" w:rsidRPr="003D330F" w:rsidRDefault="001F15D2" w:rsidP="00284927">
            <w:pPr>
              <w:widowControl w:val="0"/>
              <w:jc w:val="both"/>
              <w:rPr>
                <w:rFonts w:ascii="Arial" w:eastAsia="Times New Roman" w:hAnsi="Arial" w:cs="Arial"/>
                <w:color w:val="000000" w:themeColor="text1"/>
                <w:sz w:val="18"/>
                <w:lang w:eastAsia="en-US"/>
              </w:rPr>
            </w:pPr>
            <w:r w:rsidRPr="003D330F">
              <w:rPr>
                <w:rFonts w:ascii="Arial" w:eastAsia="Times New Roman" w:hAnsi="Arial" w:cs="Arial"/>
                <w:color w:val="000000" w:themeColor="text1"/>
                <w:sz w:val="18"/>
                <w:lang w:eastAsia="en-US"/>
              </w:rPr>
              <w:t> Tasación</w:t>
            </w:r>
            <w:r>
              <w:rPr>
                <w:rFonts w:ascii="Arial" w:eastAsia="Times New Roman" w:hAnsi="Arial" w:cs="Arial"/>
                <w:color w:val="000000" w:themeColor="text1"/>
                <w:sz w:val="18"/>
                <w:lang w:eastAsia="en-US"/>
              </w:rPr>
              <w:t xml:space="preserve"> de inmueble N°2 - </w:t>
            </w:r>
            <w:r w:rsidR="00FA5B28" w:rsidRPr="00FA5B28">
              <w:rPr>
                <w:rFonts w:ascii="Arial" w:eastAsia="Times New Roman" w:hAnsi="Arial" w:cs="Arial"/>
                <w:color w:val="000000" w:themeColor="text1"/>
                <w:sz w:val="18"/>
                <w:lang w:eastAsia="en-US"/>
              </w:rPr>
              <w:t>Centro Poblado Quilmaná, distrito de Quilmaná, provincia de Cañete, departamento de Lima</w:t>
            </w:r>
          </w:p>
        </w:tc>
        <w:tc>
          <w:tcPr>
            <w:tcW w:w="2260" w:type="dxa"/>
            <w:tcBorders>
              <w:top w:val="single" w:sz="6" w:space="0" w:color="auto"/>
              <w:left w:val="single" w:sz="6" w:space="0" w:color="auto"/>
              <w:bottom w:val="single" w:sz="6" w:space="0" w:color="auto"/>
              <w:right w:val="single" w:sz="6" w:space="0" w:color="auto"/>
            </w:tcBorders>
            <w:vAlign w:val="center"/>
          </w:tcPr>
          <w:p w14:paraId="47B3FBBA" w14:textId="77777777" w:rsidR="001F15D2" w:rsidRPr="00E90A5B" w:rsidRDefault="001F15D2" w:rsidP="00284927">
            <w:pPr>
              <w:widowControl w:val="0"/>
              <w:jc w:val="both"/>
              <w:rPr>
                <w:rFonts w:ascii="Arial" w:eastAsia="Times New Roman" w:hAnsi="Arial" w:cs="Arial"/>
                <w:b/>
                <w:bCs/>
                <w:color w:val="000000" w:themeColor="text1"/>
                <w:sz w:val="18"/>
                <w:lang w:eastAsia="en-US"/>
              </w:rPr>
            </w:pPr>
          </w:p>
        </w:tc>
      </w:tr>
      <w:tr w:rsidR="001F15D2" w:rsidRPr="00E90A5B" w14:paraId="3EEE602C" w14:textId="77777777" w:rsidTr="001F15D2">
        <w:trPr>
          <w:trHeight w:val="300"/>
        </w:trPr>
        <w:tc>
          <w:tcPr>
            <w:tcW w:w="567" w:type="dxa"/>
            <w:tcBorders>
              <w:top w:val="single" w:sz="6" w:space="0" w:color="auto"/>
              <w:left w:val="single" w:sz="6" w:space="0" w:color="auto"/>
              <w:bottom w:val="single" w:sz="6" w:space="0" w:color="auto"/>
              <w:right w:val="single" w:sz="6" w:space="0" w:color="auto"/>
            </w:tcBorders>
          </w:tcPr>
          <w:p w14:paraId="354EE364" w14:textId="1C05681A" w:rsidR="001F15D2" w:rsidRPr="003D330F" w:rsidRDefault="001F15D2" w:rsidP="001F15D2">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3</w:t>
            </w:r>
          </w:p>
        </w:tc>
        <w:tc>
          <w:tcPr>
            <w:tcW w:w="6662" w:type="dxa"/>
            <w:tcBorders>
              <w:top w:val="single" w:sz="6" w:space="0" w:color="auto"/>
              <w:left w:val="single" w:sz="6" w:space="0" w:color="auto"/>
              <w:bottom w:val="single" w:sz="6" w:space="0" w:color="auto"/>
              <w:right w:val="single" w:sz="6" w:space="0" w:color="auto"/>
            </w:tcBorders>
            <w:vAlign w:val="center"/>
          </w:tcPr>
          <w:p w14:paraId="117E32E8" w14:textId="1DB79BEB" w:rsidR="001F15D2" w:rsidRPr="003D330F" w:rsidRDefault="001F15D2" w:rsidP="00284927">
            <w:pPr>
              <w:widowControl w:val="0"/>
              <w:jc w:val="both"/>
              <w:rPr>
                <w:rFonts w:ascii="Arial" w:eastAsia="Times New Roman" w:hAnsi="Arial" w:cs="Arial"/>
                <w:color w:val="000000" w:themeColor="text1"/>
                <w:sz w:val="18"/>
                <w:lang w:eastAsia="en-US"/>
              </w:rPr>
            </w:pPr>
            <w:r w:rsidRPr="003D330F">
              <w:rPr>
                <w:rFonts w:ascii="Arial" w:eastAsia="Times New Roman" w:hAnsi="Arial" w:cs="Arial"/>
                <w:color w:val="000000" w:themeColor="text1"/>
                <w:sz w:val="18"/>
                <w:lang w:eastAsia="en-US"/>
              </w:rPr>
              <w:t> Tasación</w:t>
            </w:r>
            <w:r>
              <w:rPr>
                <w:rFonts w:ascii="Arial" w:eastAsia="Times New Roman" w:hAnsi="Arial" w:cs="Arial"/>
                <w:color w:val="000000" w:themeColor="text1"/>
                <w:sz w:val="18"/>
                <w:lang w:eastAsia="en-US"/>
              </w:rPr>
              <w:t xml:space="preserve"> de inmueble N°3 - </w:t>
            </w:r>
            <w:r w:rsidR="00B40EFB" w:rsidRPr="00B40EFB">
              <w:rPr>
                <w:rFonts w:ascii="Arial" w:eastAsia="Times New Roman" w:hAnsi="Arial" w:cs="Arial"/>
                <w:color w:val="000000" w:themeColor="text1"/>
                <w:sz w:val="18"/>
                <w:lang w:eastAsia="en-US"/>
              </w:rPr>
              <w:t>Elías Eguirre, distrito y provincia de Chiclayo, departamento de Lambayeque.</w:t>
            </w:r>
          </w:p>
        </w:tc>
        <w:tc>
          <w:tcPr>
            <w:tcW w:w="2260" w:type="dxa"/>
            <w:tcBorders>
              <w:top w:val="single" w:sz="6" w:space="0" w:color="auto"/>
              <w:left w:val="single" w:sz="6" w:space="0" w:color="auto"/>
              <w:bottom w:val="single" w:sz="6" w:space="0" w:color="auto"/>
              <w:right w:val="single" w:sz="6" w:space="0" w:color="auto"/>
            </w:tcBorders>
            <w:vAlign w:val="center"/>
          </w:tcPr>
          <w:p w14:paraId="3173B4DD" w14:textId="77777777" w:rsidR="001F15D2" w:rsidRPr="00E90A5B" w:rsidRDefault="001F15D2" w:rsidP="00284927">
            <w:pPr>
              <w:widowControl w:val="0"/>
              <w:jc w:val="both"/>
              <w:rPr>
                <w:rFonts w:ascii="Arial" w:eastAsia="Times New Roman" w:hAnsi="Arial" w:cs="Arial"/>
                <w:b/>
                <w:bCs/>
                <w:color w:val="000000" w:themeColor="text1"/>
                <w:sz w:val="18"/>
                <w:lang w:eastAsia="en-US"/>
              </w:rPr>
            </w:pPr>
          </w:p>
        </w:tc>
      </w:tr>
      <w:tr w:rsidR="001F15D2" w:rsidRPr="00E90A5B" w14:paraId="2F00DB94" w14:textId="77777777" w:rsidTr="001F15D2">
        <w:trPr>
          <w:trHeight w:val="300"/>
        </w:trPr>
        <w:tc>
          <w:tcPr>
            <w:tcW w:w="567" w:type="dxa"/>
            <w:tcBorders>
              <w:top w:val="single" w:sz="6" w:space="0" w:color="auto"/>
              <w:left w:val="single" w:sz="6" w:space="0" w:color="auto"/>
              <w:bottom w:val="single" w:sz="6" w:space="0" w:color="auto"/>
              <w:right w:val="single" w:sz="6" w:space="0" w:color="auto"/>
            </w:tcBorders>
          </w:tcPr>
          <w:p w14:paraId="0B13C0F4" w14:textId="16777DA0" w:rsidR="001F15D2" w:rsidRPr="003D330F" w:rsidRDefault="001F15D2" w:rsidP="001F15D2">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4</w:t>
            </w:r>
          </w:p>
        </w:tc>
        <w:tc>
          <w:tcPr>
            <w:tcW w:w="6662" w:type="dxa"/>
            <w:tcBorders>
              <w:top w:val="single" w:sz="6" w:space="0" w:color="auto"/>
              <w:left w:val="single" w:sz="6" w:space="0" w:color="auto"/>
              <w:bottom w:val="single" w:sz="6" w:space="0" w:color="auto"/>
              <w:right w:val="single" w:sz="6" w:space="0" w:color="auto"/>
            </w:tcBorders>
            <w:vAlign w:val="center"/>
          </w:tcPr>
          <w:p w14:paraId="6946F32C" w14:textId="18FD14F6" w:rsidR="001F15D2" w:rsidRPr="003D330F" w:rsidRDefault="001F15D2" w:rsidP="00284927">
            <w:pPr>
              <w:widowControl w:val="0"/>
              <w:jc w:val="both"/>
              <w:rPr>
                <w:rFonts w:ascii="Arial" w:eastAsia="Times New Roman" w:hAnsi="Arial" w:cs="Arial"/>
                <w:color w:val="000000" w:themeColor="text1"/>
                <w:sz w:val="18"/>
                <w:lang w:eastAsia="en-US"/>
              </w:rPr>
            </w:pPr>
            <w:r w:rsidRPr="003D330F">
              <w:rPr>
                <w:rFonts w:ascii="Arial" w:eastAsia="Times New Roman" w:hAnsi="Arial" w:cs="Arial"/>
                <w:color w:val="000000" w:themeColor="text1"/>
                <w:sz w:val="18"/>
                <w:lang w:eastAsia="en-US"/>
              </w:rPr>
              <w:t> Tasación</w:t>
            </w:r>
            <w:r>
              <w:rPr>
                <w:rFonts w:ascii="Arial" w:eastAsia="Times New Roman" w:hAnsi="Arial" w:cs="Arial"/>
                <w:color w:val="000000" w:themeColor="text1"/>
                <w:sz w:val="18"/>
                <w:lang w:eastAsia="en-US"/>
              </w:rPr>
              <w:t xml:space="preserve"> de inmueble N°4 - </w:t>
            </w:r>
            <w:r w:rsidR="001834FC" w:rsidRPr="001834FC">
              <w:rPr>
                <w:rFonts w:ascii="Arial" w:eastAsia="Times New Roman" w:hAnsi="Arial" w:cs="Arial"/>
                <w:color w:val="000000" w:themeColor="text1"/>
                <w:sz w:val="18"/>
                <w:lang w:eastAsia="en-US"/>
              </w:rPr>
              <w:t>Jirón Huáscar, distrito de Jesús María, provincia y departamento de Lima</w:t>
            </w:r>
          </w:p>
        </w:tc>
        <w:tc>
          <w:tcPr>
            <w:tcW w:w="2260" w:type="dxa"/>
            <w:tcBorders>
              <w:top w:val="single" w:sz="6" w:space="0" w:color="auto"/>
              <w:left w:val="single" w:sz="6" w:space="0" w:color="auto"/>
              <w:bottom w:val="single" w:sz="6" w:space="0" w:color="auto"/>
              <w:right w:val="single" w:sz="6" w:space="0" w:color="auto"/>
            </w:tcBorders>
            <w:vAlign w:val="center"/>
          </w:tcPr>
          <w:p w14:paraId="61EBD2BF" w14:textId="77777777" w:rsidR="001F15D2" w:rsidRPr="00E90A5B" w:rsidRDefault="001F15D2" w:rsidP="00284927">
            <w:pPr>
              <w:widowControl w:val="0"/>
              <w:jc w:val="both"/>
              <w:rPr>
                <w:rFonts w:ascii="Arial" w:eastAsia="Times New Roman" w:hAnsi="Arial" w:cs="Arial"/>
                <w:b/>
                <w:bCs/>
                <w:color w:val="000000" w:themeColor="text1"/>
                <w:sz w:val="18"/>
                <w:lang w:eastAsia="en-US"/>
              </w:rPr>
            </w:pPr>
          </w:p>
        </w:tc>
      </w:tr>
      <w:tr w:rsidR="001F15D2" w:rsidRPr="00E90A5B" w14:paraId="7CA465BE" w14:textId="77777777" w:rsidTr="001F15D2">
        <w:trPr>
          <w:trHeight w:val="300"/>
        </w:trPr>
        <w:tc>
          <w:tcPr>
            <w:tcW w:w="567" w:type="dxa"/>
            <w:tcBorders>
              <w:top w:val="single" w:sz="6" w:space="0" w:color="auto"/>
              <w:left w:val="single" w:sz="6" w:space="0" w:color="auto"/>
              <w:bottom w:val="single" w:sz="6" w:space="0" w:color="auto"/>
              <w:right w:val="single" w:sz="6" w:space="0" w:color="auto"/>
            </w:tcBorders>
          </w:tcPr>
          <w:p w14:paraId="41EDDBDC" w14:textId="77777777" w:rsidR="001F15D2" w:rsidRPr="00E90A5B" w:rsidRDefault="001F15D2" w:rsidP="00620358">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5FAF07D" w14:textId="597A3FC9" w:rsidR="001F15D2" w:rsidRPr="00E90A5B" w:rsidRDefault="001F15D2" w:rsidP="00620358">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0"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1F15D2" w:rsidRPr="00E90A5B" w:rsidRDefault="001F15D2" w:rsidP="00620358">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4F0C2B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D330F">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A7D84" w14:textId="77777777" w:rsidR="004022C2" w:rsidRDefault="004022C2">
      <w:r>
        <w:separator/>
      </w:r>
    </w:p>
  </w:endnote>
  <w:endnote w:type="continuationSeparator" w:id="0">
    <w:p w14:paraId="2135A667" w14:textId="77777777" w:rsidR="004022C2" w:rsidRDefault="00402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D555B" w14:textId="77777777" w:rsidR="004022C2" w:rsidRDefault="004022C2">
      <w:r>
        <w:separator/>
      </w:r>
    </w:p>
  </w:footnote>
  <w:footnote w:type="continuationSeparator" w:id="0">
    <w:p w14:paraId="55A4BD29" w14:textId="77777777" w:rsidR="004022C2" w:rsidRDefault="00402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2B6"/>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474FE"/>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42E"/>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649"/>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4DC"/>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0EC"/>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4F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5D2"/>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7A4"/>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772"/>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927"/>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DD1"/>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30F"/>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2C2"/>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358"/>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121"/>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0EFB"/>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DCD"/>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68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183"/>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5B28"/>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6</TotalTime>
  <Pages>1</Pages>
  <Words>176</Words>
  <Characters>972</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2026-05-28T22:43:00Z</dcterms:created>
  <dcterms:modified xsi:type="dcterms:W3CDTF">2026-06-23T22:49:00Z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