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692F7" w14:textId="77777777" w:rsidR="00BB1B37" w:rsidRPr="00BB1B37" w:rsidRDefault="00BB1B37" w:rsidP="00BB1B37">
      <w:pPr>
        <w:spacing w:line="276" w:lineRule="auto"/>
        <w:jc w:val="center"/>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ESPECIFICACIONES TÉCNICAS PARA LA ADQUISICIÓN DEL PRODUCTOS FARMACÉUTICOS ESCENCIALES</w:t>
      </w:r>
    </w:p>
    <w:tbl>
      <w:tblPr>
        <w:tblStyle w:val="TableGrid"/>
        <w:tblW w:w="9377" w:type="dxa"/>
        <w:tblInd w:w="-24" w:type="dxa"/>
        <w:tblCellMar>
          <w:left w:w="110" w:type="dxa"/>
          <w:right w:w="107" w:type="dxa"/>
        </w:tblCellMar>
        <w:tblLook w:val="04A0" w:firstRow="1" w:lastRow="0" w:firstColumn="1" w:lastColumn="0" w:noHBand="0" w:noVBand="1"/>
      </w:tblPr>
      <w:tblGrid>
        <w:gridCol w:w="3282"/>
        <w:gridCol w:w="6095"/>
      </w:tblGrid>
      <w:tr w:rsidR="00BB1B37" w:rsidRPr="00BB1B37" w14:paraId="0589233B" w14:textId="77777777" w:rsidTr="005357F8">
        <w:trPr>
          <w:trHeight w:val="350"/>
        </w:trPr>
        <w:tc>
          <w:tcPr>
            <w:tcW w:w="3282" w:type="dxa"/>
            <w:tcBorders>
              <w:top w:val="single" w:sz="2" w:space="0" w:color="000000"/>
              <w:left w:val="single" w:sz="2" w:space="0" w:color="000000"/>
              <w:bottom w:val="single" w:sz="2" w:space="0" w:color="000000"/>
              <w:right w:val="single" w:sz="2" w:space="0" w:color="000000"/>
            </w:tcBorders>
            <w:vAlign w:val="center"/>
          </w:tcPr>
          <w:p w14:paraId="1860CA81" w14:textId="23AEE6DB"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Area Usuaria</w:t>
            </w:r>
          </w:p>
        </w:tc>
        <w:tc>
          <w:tcPr>
            <w:tcW w:w="6095" w:type="dxa"/>
            <w:tcBorders>
              <w:top w:val="single" w:sz="2" w:space="0" w:color="000000"/>
              <w:left w:val="single" w:sz="2" w:space="0" w:color="000000"/>
              <w:bottom w:val="single" w:sz="2" w:space="0" w:color="000000"/>
              <w:right w:val="single" w:sz="2" w:space="0" w:color="000000"/>
            </w:tcBorders>
            <w:vAlign w:val="center"/>
          </w:tcPr>
          <w:p w14:paraId="544566E4"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Servicio de Farmacia – Hospital Regional Cusco</w:t>
            </w:r>
          </w:p>
        </w:tc>
      </w:tr>
      <w:tr w:rsidR="00BB1B37" w:rsidRPr="00BB1B37" w14:paraId="48426DE7" w14:textId="77777777" w:rsidTr="005357F8">
        <w:trPr>
          <w:trHeight w:val="269"/>
        </w:trPr>
        <w:tc>
          <w:tcPr>
            <w:tcW w:w="3282" w:type="dxa"/>
            <w:tcBorders>
              <w:top w:val="single" w:sz="2" w:space="0" w:color="000000"/>
              <w:left w:val="single" w:sz="2" w:space="0" w:color="000000"/>
              <w:bottom w:val="single" w:sz="2" w:space="0" w:color="000000"/>
              <w:right w:val="single" w:sz="2" w:space="0" w:color="000000"/>
            </w:tcBorders>
            <w:vAlign w:val="center"/>
          </w:tcPr>
          <w:p w14:paraId="79193F35"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Meta </w:t>
            </w:r>
            <w:proofErr w:type="spellStart"/>
            <w:r w:rsidRPr="00BB1B37">
              <w:rPr>
                <w:rFonts w:ascii="Times New Roman" w:eastAsia="Calibri" w:hAnsi="Times New Roman" w:cs="Times New Roman"/>
                <w:bCs/>
                <w:color w:val="000000"/>
                <w:kern w:val="0"/>
                <w:sz w:val="20"/>
                <w:szCs w:val="20"/>
                <w:lang w:val="en-US"/>
                <w14:ligatures w14:val="none"/>
              </w:rPr>
              <w:t>Presupuestaria</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89ADDF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C007 - META 165</w:t>
            </w:r>
          </w:p>
        </w:tc>
      </w:tr>
      <w:tr w:rsidR="00BB1B37" w:rsidRPr="00BB1B37" w14:paraId="53BA4D7C" w14:textId="77777777" w:rsidTr="005357F8">
        <w:trPr>
          <w:trHeight w:val="429"/>
        </w:trPr>
        <w:tc>
          <w:tcPr>
            <w:tcW w:w="3282" w:type="dxa"/>
            <w:tcBorders>
              <w:top w:val="single" w:sz="2" w:space="0" w:color="000000"/>
              <w:left w:val="single" w:sz="2" w:space="0" w:color="000000"/>
              <w:bottom w:val="single" w:sz="2" w:space="0" w:color="000000"/>
              <w:right w:val="single" w:sz="2" w:space="0" w:color="000000"/>
            </w:tcBorders>
            <w:vAlign w:val="center"/>
          </w:tcPr>
          <w:p w14:paraId="377F0598"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Actividad</w:t>
            </w:r>
            <w:proofErr w:type="spellEnd"/>
            <w:r w:rsidRPr="00BB1B37">
              <w:rPr>
                <w:rFonts w:ascii="Times New Roman" w:eastAsia="Calibri" w:hAnsi="Times New Roman" w:cs="Times New Roman"/>
                <w:bCs/>
                <w:color w:val="000000"/>
                <w:kern w:val="0"/>
                <w:sz w:val="20"/>
                <w:szCs w:val="20"/>
                <w:lang w:val="en-US"/>
                <w14:ligatures w14:val="none"/>
              </w:rPr>
              <w:t xml:space="preserve"> del POI</w:t>
            </w:r>
          </w:p>
        </w:tc>
        <w:tc>
          <w:tcPr>
            <w:tcW w:w="6095" w:type="dxa"/>
            <w:tcBorders>
              <w:top w:val="single" w:sz="2" w:space="0" w:color="000000"/>
              <w:left w:val="single" w:sz="2" w:space="0" w:color="000000"/>
              <w:bottom w:val="single" w:sz="2" w:space="0" w:color="000000"/>
              <w:right w:val="single" w:sz="2" w:space="0" w:color="000000"/>
            </w:tcBorders>
            <w:vAlign w:val="center"/>
          </w:tcPr>
          <w:p w14:paraId="1F06676C"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Gestión de Productos Farmacéuticos y Dispositivos Médicos – </w:t>
            </w:r>
            <w:proofErr w:type="spellStart"/>
            <w:r w:rsidRPr="00BB1B37">
              <w:rPr>
                <w:rFonts w:ascii="Times New Roman" w:eastAsia="Calibri" w:hAnsi="Times New Roman" w:cs="Times New Roman"/>
                <w:bCs/>
                <w:color w:val="000000"/>
                <w:kern w:val="0"/>
                <w:sz w:val="20"/>
                <w:szCs w:val="20"/>
                <w:lang w:val="en-US"/>
                <w14:ligatures w14:val="none"/>
              </w:rPr>
              <w:t>Proveer</w:t>
            </w:r>
            <w:proofErr w:type="spellEnd"/>
            <w:r w:rsidRPr="00BB1B37">
              <w:rPr>
                <w:rFonts w:ascii="Times New Roman" w:eastAsia="Calibri" w:hAnsi="Times New Roman" w:cs="Times New Roman"/>
                <w:bCs/>
                <w:color w:val="000000"/>
                <w:kern w:val="0"/>
                <w:sz w:val="20"/>
                <w:szCs w:val="20"/>
                <w:lang w:val="en-US"/>
                <w14:ligatures w14:val="none"/>
              </w:rPr>
              <w:t xml:space="preserve"> de Medicamentos a la población</w:t>
            </w:r>
          </w:p>
        </w:tc>
      </w:tr>
      <w:tr w:rsidR="00BB1B37" w:rsidRPr="00BB1B37" w14:paraId="10A3FF8D" w14:textId="77777777" w:rsidTr="005357F8">
        <w:trPr>
          <w:trHeight w:val="522"/>
        </w:trPr>
        <w:tc>
          <w:tcPr>
            <w:tcW w:w="3282" w:type="dxa"/>
            <w:tcBorders>
              <w:top w:val="single" w:sz="2" w:space="0" w:color="000000"/>
              <w:left w:val="single" w:sz="2" w:space="0" w:color="000000"/>
              <w:bottom w:val="single" w:sz="2" w:space="0" w:color="000000"/>
              <w:right w:val="single" w:sz="2" w:space="0" w:color="000000"/>
            </w:tcBorders>
            <w:vAlign w:val="center"/>
          </w:tcPr>
          <w:p w14:paraId="2D3B712E"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Denominación</w:t>
            </w:r>
            <w:proofErr w:type="spellEnd"/>
            <w:r w:rsidRPr="00BB1B37">
              <w:rPr>
                <w:rFonts w:ascii="Times New Roman" w:eastAsia="Calibri" w:hAnsi="Times New Roman" w:cs="Times New Roman"/>
                <w:bCs/>
                <w:color w:val="000000"/>
                <w:kern w:val="0"/>
                <w:sz w:val="20"/>
                <w:szCs w:val="20"/>
                <w:lang w:val="en-US"/>
                <w14:ligatures w14:val="none"/>
              </w:rPr>
              <w:t xml:space="preserve"> de la </w:t>
            </w:r>
            <w:proofErr w:type="spellStart"/>
            <w:r w:rsidRPr="00BB1B37">
              <w:rPr>
                <w:rFonts w:ascii="Times New Roman" w:eastAsia="Calibri" w:hAnsi="Times New Roman" w:cs="Times New Roman"/>
                <w:bCs/>
                <w:color w:val="000000"/>
                <w:kern w:val="0"/>
                <w:sz w:val="20"/>
                <w:szCs w:val="20"/>
                <w:lang w:val="en-US"/>
                <w14:ligatures w14:val="none"/>
              </w:rPr>
              <w:t>Contratación</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C71B11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Adquisición</w:t>
            </w:r>
            <w:proofErr w:type="spellEnd"/>
            <w:r w:rsidRPr="00BB1B37">
              <w:rPr>
                <w:rFonts w:ascii="Times New Roman" w:eastAsia="Calibri" w:hAnsi="Times New Roman" w:cs="Times New Roman"/>
                <w:bCs/>
                <w:color w:val="000000"/>
                <w:kern w:val="0"/>
                <w:sz w:val="20"/>
                <w:szCs w:val="20"/>
                <w:lang w:val="en-US"/>
                <w14:ligatures w14:val="none"/>
              </w:rPr>
              <w:t xml:space="preserve"> del </w:t>
            </w:r>
            <w:proofErr w:type="spellStart"/>
            <w:r w:rsidRPr="00BB1B37">
              <w:rPr>
                <w:rFonts w:ascii="Times New Roman" w:eastAsia="Calibri" w:hAnsi="Times New Roman" w:cs="Times New Roman"/>
                <w:bCs/>
                <w:color w:val="000000"/>
                <w:kern w:val="0"/>
                <w:sz w:val="20"/>
                <w:szCs w:val="20"/>
                <w:lang w:val="en-US"/>
                <w14:ligatures w14:val="none"/>
              </w:rPr>
              <w:t>Producto</w:t>
            </w:r>
            <w:proofErr w:type="spellEnd"/>
            <w:r w:rsidRPr="00BB1B37">
              <w:rPr>
                <w:rFonts w:ascii="Times New Roman" w:eastAsia="Calibri" w:hAnsi="Times New Roman" w:cs="Times New Roman"/>
                <w:bCs/>
                <w:color w:val="000000"/>
                <w:kern w:val="0"/>
                <w:sz w:val="20"/>
                <w:szCs w:val="20"/>
                <w:lang w:val="en-US"/>
                <w14:ligatures w14:val="none"/>
              </w:rPr>
              <w:t xml:space="preserve"> Farmacéuticos Escenciales para el Servicio de Farmacia – Hospital Regional Cusco</w:t>
            </w:r>
          </w:p>
        </w:tc>
      </w:tr>
    </w:tbl>
    <w:p w14:paraId="7E8F742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068C5C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ab/>
        <w:t>Finalidad Pública de la Contratación.</w:t>
      </w:r>
    </w:p>
    <w:p w14:paraId="2E783EA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presente requerimiento tiene por finalidad adquirir productos farmacéuticos destinados a conservar, mantener, recuperar y rehabilitar la salud de las personas que reciben prestaciones de salud en el Hospital Regional Cusco</w:t>
      </w:r>
    </w:p>
    <w:p w14:paraId="56079070"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ab/>
        <w:t>Antecedentes.</w:t>
      </w:r>
    </w:p>
    <w:p w14:paraId="7B3CEC6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Hospital Regional del Cusco mediante el Servicio de Farmacia tiene por finalidad modernizar, optimizar y garantizar los procesos necesarios para el abastecimiento de los recursos estratégicos en salud, permitiendo que los mismos estén disponibles y sean asequibles a la población</w:t>
      </w:r>
    </w:p>
    <w:p w14:paraId="6B45415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ab/>
        <w:t>Objeto de la Contratación.</w:t>
      </w:r>
    </w:p>
    <w:p w14:paraId="5AE7B8D6"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3.1 Objetivo General</w:t>
      </w:r>
    </w:p>
    <w:p w14:paraId="06AABFB0" w14:textId="77777777" w:rsidR="00BB1B37" w:rsidRPr="00BB1B37" w:rsidRDefault="00BB1B37" w:rsidP="00BB1B37">
      <w:pPr>
        <w:numPr>
          <w:ilvl w:val="0"/>
          <w:numId w:val="1"/>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color w:val="000000"/>
          <w:sz w:val="20"/>
          <w:szCs w:val="20"/>
          <w:lang w:eastAsia="es-PE"/>
        </w:rPr>
        <w:t>Adquisición del Producto Farmacéuticos Escenciales para el Servicio de Farmacia – Hospital Regional Cusco</w:t>
      </w:r>
      <w:r w:rsidRPr="00BB1B37">
        <w:rPr>
          <w:rFonts w:ascii="Times New Roman" w:eastAsia="Times New Roman" w:hAnsi="Times New Roman" w:cs="Times New Roman"/>
          <w:bCs/>
          <w:kern w:val="0"/>
          <w:sz w:val="20"/>
          <w:szCs w:val="20"/>
          <w:lang w:val="es-ES" w:eastAsia="es-ES"/>
          <w14:ligatures w14:val="none"/>
        </w:rPr>
        <w:t xml:space="preserve"> </w:t>
      </w:r>
    </w:p>
    <w:p w14:paraId="5F888386"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
          <w:kern w:val="0"/>
          <w:sz w:val="20"/>
          <w:szCs w:val="20"/>
          <w:lang w:val="es-ES" w:eastAsia="es-ES"/>
          <w14:ligatures w14:val="none"/>
        </w:rPr>
      </w:pPr>
    </w:p>
    <w:p w14:paraId="132A9B8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3.2 Objetivo Especifico</w:t>
      </w:r>
    </w:p>
    <w:p w14:paraId="649E2AF7"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Brindar atención de abastecimiento de Productos Farmacéuticos Escenciales a la población que acude al Hospital Regional del Cusco.</w:t>
      </w:r>
    </w:p>
    <w:p w14:paraId="22E32F28"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Mantener obligatoriamente y de manera permanente, stock de seguridad de Productos Farmacéuticos Escenciales.</w:t>
      </w:r>
    </w:p>
    <w:p w14:paraId="3EB593F5"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p>
    <w:p w14:paraId="56F9EB4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w:t>
      </w:r>
      <w:r w:rsidRPr="00BB1B37">
        <w:rPr>
          <w:rFonts w:ascii="Times New Roman" w:eastAsia="Calibri" w:hAnsi="Times New Roman" w:cs="Times New Roman"/>
          <w:b/>
          <w:kern w:val="0"/>
          <w:sz w:val="20"/>
          <w:szCs w:val="20"/>
          <w:lang w:val="es-ES"/>
          <w14:ligatures w14:val="none"/>
        </w:rPr>
        <w:tab/>
        <w:t>Alcance y Descripción de los bienes contratar:</w:t>
      </w:r>
    </w:p>
    <w:p w14:paraId="4CC300DE" w14:textId="71A0C575" w:rsidR="00BB1B37" w:rsidRPr="00BB1B37" w:rsidRDefault="00EF7847" w:rsidP="00BB1B37">
      <w:pPr>
        <w:spacing w:line="276" w:lineRule="auto"/>
        <w:jc w:val="both"/>
        <w:rPr>
          <w:rFonts w:ascii="Times New Roman" w:eastAsia="Calibri" w:hAnsi="Times New Roman" w:cs="Times New Roman"/>
          <w:b/>
          <w:kern w:val="0"/>
          <w:sz w:val="20"/>
          <w:szCs w:val="20"/>
          <w:lang w:val="es-ES"/>
          <w14:ligatures w14:val="none"/>
        </w:rPr>
      </w:pPr>
      <w:r w:rsidRPr="00EF7847">
        <w:rPr>
          <w:noProof/>
        </w:rPr>
        <w:drawing>
          <wp:inline distT="0" distB="0" distL="0" distR="0" wp14:anchorId="75F16AF5" wp14:editId="6D2C22C5">
            <wp:extent cx="5400040" cy="543560"/>
            <wp:effectExtent l="0" t="0" r="0" b="8890"/>
            <wp:docPr id="1548017449"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543560"/>
                    </a:xfrm>
                    <a:prstGeom prst="rect">
                      <a:avLst/>
                    </a:prstGeom>
                    <a:noFill/>
                    <a:ln>
                      <a:noFill/>
                    </a:ln>
                  </pic:spPr>
                </pic:pic>
              </a:graphicData>
            </a:graphic>
          </wp:inline>
        </w:drawing>
      </w:r>
    </w:p>
    <w:p w14:paraId="3D5D0F4B" w14:textId="77777777" w:rsidR="00E94C85" w:rsidRPr="00BB1B37" w:rsidRDefault="00E94C85" w:rsidP="00E94C85">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4.1 Características Técnicas:</w:t>
      </w:r>
    </w:p>
    <w:p w14:paraId="36207FAC" w14:textId="77777777" w:rsidR="00E94C85" w:rsidRPr="00BB1B37" w:rsidRDefault="00E94C85" w:rsidP="00E94C8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producto farmacéutico objeto de la presente contratación, deben contar con las siguientes características:</w:t>
      </w:r>
    </w:p>
    <w:p w14:paraId="17CEB1A5" w14:textId="77777777" w:rsidR="00E94C85" w:rsidRPr="00BB1B37" w:rsidRDefault="00E94C85" w:rsidP="00E94C8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Deben cumplir cada una de las características de calidad según los requisitos establecidos en la farmacopea vigente a la cual se acoge, acorde a lo autorizado en su Registro Sanitario. Cuando la forma farmacéutica del producto farmacéutico no se encuentre en las farmacopeas aceptadas por ley, el producto farmacéutico deberá cumplir con las especificaciones técnicas de calidad declaradas en la técnica analítica propia del fabricante de acuerdo a lo aceptado en su Registro Sanitario.</w:t>
      </w:r>
    </w:p>
    <w:p w14:paraId="6F81B758" w14:textId="77777777" w:rsidR="00E94C85" w:rsidRPr="00BB1B37" w:rsidRDefault="00E94C85" w:rsidP="00E94C85">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4.2 Condiciones de Operación:</w:t>
      </w:r>
    </w:p>
    <w:p w14:paraId="5E6391D8" w14:textId="77777777" w:rsidR="00E94C85" w:rsidRDefault="00E94C85" w:rsidP="00E94C8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2CDEF472" w14:textId="77777777" w:rsidR="00E94C85" w:rsidRPr="00BB1B37" w:rsidRDefault="00E94C85" w:rsidP="00E94C85">
      <w:pPr>
        <w:spacing w:line="276" w:lineRule="auto"/>
        <w:jc w:val="both"/>
        <w:rPr>
          <w:rFonts w:ascii="Times New Roman" w:eastAsia="Calibri" w:hAnsi="Times New Roman" w:cs="Times New Roman"/>
          <w:bCs/>
          <w:kern w:val="0"/>
          <w:sz w:val="20"/>
          <w:szCs w:val="20"/>
          <w:lang w:val="es-ES"/>
          <w14:ligatures w14:val="none"/>
        </w:rPr>
      </w:pPr>
    </w:p>
    <w:p w14:paraId="00547F40" w14:textId="77777777" w:rsidR="00E94C85" w:rsidRPr="00BB1B37" w:rsidRDefault="00E94C85" w:rsidP="00E94C85">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 Embalaje y Rotulo:</w:t>
      </w:r>
    </w:p>
    <w:p w14:paraId="44A278D1" w14:textId="77777777" w:rsidR="00E94C85" w:rsidRPr="00BB1B37" w:rsidRDefault="00E94C85" w:rsidP="00E94C85">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4.3.1. Envase</w:t>
      </w:r>
    </w:p>
    <w:p w14:paraId="2801B71B" w14:textId="77777777" w:rsidR="00E94C85" w:rsidRPr="00BB1B37" w:rsidRDefault="00E94C85" w:rsidP="00E94C85">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inmediato: Envase según lo autorizado en el Registro Sanitario, que asegure la conservación y hermeticidad del producto, el mismo que deberá contener rotulado impreso.</w:t>
      </w:r>
    </w:p>
    <w:p w14:paraId="64DA4C1E" w14:textId="77777777" w:rsidR="00E94C85" w:rsidRPr="00BB1B37" w:rsidRDefault="00E94C85" w:rsidP="00E94C85">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mediato: Envase autorizado en el Registro Sanitario, que permita proteger el producto durante su transporte y almacenamiento.</w:t>
      </w:r>
    </w:p>
    <w:p w14:paraId="25A6F56A" w14:textId="77777777" w:rsidR="00E94C85" w:rsidRPr="00BB1B37" w:rsidRDefault="00E94C85" w:rsidP="00E94C85">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1121A72C" w14:textId="77777777" w:rsidR="00E94C85" w:rsidRPr="00BB1B37" w:rsidRDefault="00E94C85" w:rsidP="00E94C85">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4.3.2. Embalaje</w:t>
      </w:r>
    </w:p>
    <w:p w14:paraId="5316F749" w14:textId="77777777" w:rsidR="00E94C85" w:rsidRPr="00BB1B37" w:rsidRDefault="00E94C85" w:rsidP="00E94C8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embalaje de los productos farmacéuticos deberá cumplir con los siguientes requisitos: </w:t>
      </w:r>
    </w:p>
    <w:p w14:paraId="33197D1E" w14:textId="77777777" w:rsidR="00E94C85" w:rsidRPr="00BB1B37" w:rsidRDefault="00E94C85" w:rsidP="00E94C85">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 cartón nuevas que garanticen la integridad, orden, conservación, transporte y adecuado almacenamiento.</w:t>
      </w:r>
    </w:p>
    <w:p w14:paraId="73E1BA51" w14:textId="77777777" w:rsidR="00E94C85" w:rsidRPr="00BB1B37" w:rsidRDefault="00E94C85" w:rsidP="00E94C85">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que faciliten su conteo y fácil apilamiento, precisando el número de cajas apilables, será el que determine el fabricante para su proceso de almacenaje.</w:t>
      </w:r>
    </w:p>
    <w:p w14:paraId="35B5AE23" w14:textId="77777777" w:rsidR="00E94C85" w:rsidRPr="00BB1B37" w:rsidRDefault="00E94C85" w:rsidP="00E94C85">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debidamente rotuladas indicando nombre del Producto Farmacéutico, concentración, forma farmacéutica, presentación, cantidad, lote, fecha de vencimiento, nombre del proveedor, especificaciones para la conservación y almacenamiento.</w:t>
      </w:r>
    </w:p>
    <w:p w14:paraId="15E6402C" w14:textId="77777777" w:rsidR="00E94C85" w:rsidRPr="00BB1B37" w:rsidRDefault="00E94C85" w:rsidP="00E94C85">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Dicha información podrá ser indicada en etiquetas. Aplica a caja master, es decir a caja completa del Producto Farmacéutico.</w:t>
      </w:r>
    </w:p>
    <w:p w14:paraId="3D388817" w14:textId="77777777" w:rsidR="00E94C85" w:rsidRPr="00BB1B37" w:rsidRDefault="00E94C85" w:rsidP="00E94C85">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3CC9A55C" w14:textId="77777777" w:rsidR="00E94C85" w:rsidRPr="00BB1B37" w:rsidRDefault="00E94C85" w:rsidP="00E94C85">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4.3.3. Rotulado de los envases mediato e inmediato</w:t>
      </w:r>
    </w:p>
    <w:p w14:paraId="1ED98D72" w14:textId="77777777" w:rsidR="00E94C85" w:rsidRPr="00BB1B37" w:rsidRDefault="00E94C85" w:rsidP="00E94C8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Los rotulados de los envases mediato e inmediato, deben corresponder al producto farmacéutico terminado de acuerdo a lo autorizado en su Registro Sanitario; debe ser impresa con tinta indeleble y resistente a la manipulación. Tratándose del número de lote y fecha de expiración, éstos también podrán ser impresos en alto o bajo relieve.</w:t>
      </w:r>
    </w:p>
    <w:p w14:paraId="1B140BC8" w14:textId="77777777" w:rsidR="00E94C85" w:rsidRPr="00BB1B37" w:rsidRDefault="00E94C85" w:rsidP="00E94C85">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4.3.4. Inserto</w:t>
      </w:r>
    </w:p>
    <w:p w14:paraId="6B14C86D" w14:textId="77777777" w:rsidR="00E94C85" w:rsidRPr="00BB1B37" w:rsidRDefault="00E94C85" w:rsidP="00E94C8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Es obligatorio la inclusión del inserto con la información autorizada en su registro sanitario, según corresponda </w:t>
      </w:r>
    </w:p>
    <w:p w14:paraId="1759F676" w14:textId="77777777" w:rsidR="00E94C85" w:rsidRPr="00BB1B37" w:rsidRDefault="00E94C85" w:rsidP="00E94C85">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 xml:space="preserve"> 4.4. Vigencia del producto:</w:t>
      </w:r>
    </w:p>
    <w:p w14:paraId="7150BFE4" w14:textId="77777777" w:rsidR="00E94C85" w:rsidRPr="00BB1B37" w:rsidRDefault="00E94C85" w:rsidP="00E94C85">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La vigencia mínima del medicamento debe ser igual o mayor </w:t>
      </w:r>
      <w:r>
        <w:rPr>
          <w:rFonts w:ascii="Times New Roman" w:eastAsia="Times New Roman" w:hAnsi="Times New Roman" w:cs="Times New Roman"/>
          <w:bCs/>
          <w:kern w:val="0"/>
          <w:sz w:val="20"/>
          <w:szCs w:val="20"/>
          <w:lang w:val="es-ES" w:eastAsia="es-ES"/>
          <w14:ligatures w14:val="none"/>
        </w:rPr>
        <w:t xml:space="preserve">a </w:t>
      </w:r>
      <w:r w:rsidRPr="00BB1B37">
        <w:rPr>
          <w:rFonts w:ascii="Times New Roman" w:eastAsia="Times New Roman" w:hAnsi="Times New Roman" w:cs="Times New Roman"/>
          <w:bCs/>
          <w:kern w:val="0"/>
          <w:sz w:val="20"/>
          <w:szCs w:val="20"/>
          <w:lang w:val="es-ES" w:eastAsia="es-ES"/>
          <w14:ligatures w14:val="none"/>
        </w:rPr>
        <w:t>dieciocho (18) meses, al momento de la entrega en el almacén de la entidad.</w:t>
      </w:r>
    </w:p>
    <w:p w14:paraId="41DE826B" w14:textId="77777777" w:rsidR="00E94C85" w:rsidRPr="00BB1B37" w:rsidRDefault="00E94C85" w:rsidP="00E94C85">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Para el caso de una vigencia igual o mayor a doce (12) meses, el proveedor deberá adjuntar una carta de compromiso de canje por vencimiento, el cual será presentado al momento de internar el producto correspondiente.</w:t>
      </w:r>
    </w:p>
    <w:p w14:paraId="103E0EA0" w14:textId="77777777" w:rsidR="00E94C85" w:rsidRPr="00BB1B37" w:rsidRDefault="00E94C85" w:rsidP="00E94C8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plazo de entrega contado a partir del día siguiente de notificada la orden de compra de acuerdo al cronograma establecido.</w:t>
      </w:r>
    </w:p>
    <w:p w14:paraId="37C3DC1A" w14:textId="77777777" w:rsidR="00E94C85" w:rsidRPr="00BB1B37" w:rsidRDefault="00E94C85" w:rsidP="00E94C85">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 Lugar y plazo de entrega</w:t>
      </w:r>
    </w:p>
    <w:p w14:paraId="6FDFB253" w14:textId="77777777" w:rsidR="00E94C85" w:rsidRPr="00BB1B37" w:rsidRDefault="00E94C85" w:rsidP="00E94C85">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Almacén de Medicamentos del Hospital Regional Cusco, Avenida de la Cultura s/n (Referencia, frente a la Puerta de Medicina UNSAAC), en horario de atención de lunes a sábado de 7:</w:t>
      </w:r>
      <w:r>
        <w:rPr>
          <w:rFonts w:ascii="Times New Roman" w:eastAsia="Calibri" w:hAnsi="Times New Roman" w:cs="Times New Roman"/>
          <w:bCs/>
          <w:kern w:val="0"/>
          <w:sz w:val="20"/>
          <w:szCs w:val="20"/>
          <w:lang w:val="es-ES"/>
          <w14:ligatures w14:val="none"/>
        </w:rPr>
        <w:t>3</w:t>
      </w:r>
      <w:r w:rsidRPr="00BB1B37">
        <w:rPr>
          <w:rFonts w:ascii="Times New Roman" w:eastAsia="Calibri" w:hAnsi="Times New Roman" w:cs="Times New Roman"/>
          <w:bCs/>
          <w:kern w:val="0"/>
          <w:sz w:val="20"/>
          <w:szCs w:val="20"/>
          <w:lang w:val="es-ES"/>
          <w14:ligatures w14:val="none"/>
        </w:rPr>
        <w:t xml:space="preserve">0 a.m. a 12:00 m. </w:t>
      </w:r>
    </w:p>
    <w:p w14:paraId="73C91508" w14:textId="77777777" w:rsidR="00E94C85" w:rsidRPr="00BB1B37" w:rsidRDefault="00E94C85" w:rsidP="00E94C85">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.1.  Plazo de entrega:</w:t>
      </w:r>
    </w:p>
    <w:p w14:paraId="0438CFEB" w14:textId="77777777" w:rsidR="00E94C85" w:rsidRDefault="00E94C85" w:rsidP="00E94C85">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entrega de los bienes, se realizará en un plazo de (05) días calendarios, computado a partir del día siguiente de la recepción de la Orden de Compra.</w:t>
      </w:r>
    </w:p>
    <w:p w14:paraId="128D0F2A" w14:textId="77777777" w:rsidR="00E94C85" w:rsidRDefault="00E94C85" w:rsidP="00E94C85">
      <w:pPr>
        <w:spacing w:line="240" w:lineRule="auto"/>
        <w:jc w:val="both"/>
        <w:rPr>
          <w:rFonts w:ascii="Times New Roman" w:eastAsia="Calibri" w:hAnsi="Times New Roman" w:cs="Times New Roman"/>
          <w:bCs/>
          <w:kern w:val="0"/>
          <w:sz w:val="20"/>
          <w:szCs w:val="20"/>
          <w:lang w:val="es-ES"/>
          <w14:ligatures w14:val="none"/>
        </w:rPr>
      </w:pPr>
    </w:p>
    <w:p w14:paraId="488B78DA" w14:textId="77777777" w:rsidR="00E94C85" w:rsidRPr="00BB1B37" w:rsidRDefault="00E94C85" w:rsidP="00E94C85">
      <w:pPr>
        <w:spacing w:line="240" w:lineRule="auto"/>
        <w:jc w:val="both"/>
        <w:rPr>
          <w:rFonts w:ascii="Times New Roman" w:eastAsia="Calibri" w:hAnsi="Times New Roman" w:cs="Times New Roman"/>
          <w:bCs/>
          <w:kern w:val="0"/>
          <w:sz w:val="20"/>
          <w:szCs w:val="20"/>
          <w:lang w:val="es-ES"/>
          <w14:ligatures w14:val="none"/>
        </w:rPr>
      </w:pPr>
    </w:p>
    <w:p w14:paraId="29A81EAF" w14:textId="77777777" w:rsidR="00E94C85" w:rsidRPr="00BB1B37" w:rsidRDefault="00E94C85" w:rsidP="00E94C85">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6</w:t>
      </w:r>
      <w:r w:rsidRPr="00BB1B37">
        <w:rPr>
          <w:rFonts w:ascii="Times New Roman" w:eastAsia="Calibri" w:hAnsi="Times New Roman" w:cs="Times New Roman"/>
          <w:b/>
          <w:kern w:val="0"/>
          <w:sz w:val="20"/>
          <w:szCs w:val="20"/>
          <w:lang w:val="es-ES"/>
          <w14:ligatures w14:val="none"/>
        </w:rPr>
        <w:t>. Consideraciones para la recepción de los Bienes</w:t>
      </w:r>
    </w:p>
    <w:p w14:paraId="31ADF119" w14:textId="77777777" w:rsidR="00E94C85" w:rsidRPr="00BB1B37" w:rsidRDefault="00E94C85" w:rsidP="00E94C8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el Acto de Recepción de los bienes que formaran parte de la entrega, el proveedor deberá entregar en el Almacen de Medicamentos del Hospital Regional Cusco, copia simple de los siguientes documentos, a fin de llevar a cabo la conformidad de recepción:</w:t>
      </w:r>
    </w:p>
    <w:p w14:paraId="79071788" w14:textId="77777777" w:rsidR="00E94C85" w:rsidRPr="00BB1B37" w:rsidRDefault="00E94C85" w:rsidP="00E94C85">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Orden de Compra — Guía de Internamiento (copia).</w:t>
      </w:r>
    </w:p>
    <w:p w14:paraId="201EB93D" w14:textId="77777777" w:rsidR="00E94C85" w:rsidRPr="00BB1B37" w:rsidRDefault="00E94C85" w:rsidP="00E94C85">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Guía de Remisión (Destinatario + SUNAT + 02 Copias adicionales). Esta deberá consignar en forma obligatoria para cada ítem el número de lote y la cantidad entregada por lote. </w:t>
      </w:r>
    </w:p>
    <w:p w14:paraId="55B52450" w14:textId="77777777" w:rsidR="00E94C85" w:rsidRPr="00BB1B37" w:rsidRDefault="00E94C85" w:rsidP="00E94C85">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Copia simple de la Resolución Directoral del Registro Sanitario o Certificado de Registro Sanitario vigente; de acuerdo a los requisitos documentarios mínimos del proveedor del bien.</w:t>
      </w:r>
    </w:p>
    <w:p w14:paraId="213EF206" w14:textId="77777777" w:rsidR="00E94C85" w:rsidRPr="00BB1B37" w:rsidRDefault="00E94C85" w:rsidP="00E94C85">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Copia del Certificado de Análisis emitido por el fabricante o quien encarga su fabricación, según lo dispuesto en la norma correspondiente. </w:t>
      </w:r>
    </w:p>
    <w:p w14:paraId="06D7854F" w14:textId="77777777" w:rsidR="00E94C85" w:rsidRPr="00BB1B37" w:rsidRDefault="00E94C85" w:rsidP="00E94C8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Almacen de Medicamentos del Hospital Regional Cusco no está obligado a recibir los bienes si no han sido presentados todos los documentos que corresponde a la entrega, o si se detecta que no corresponde el producto con lo solicitado (vigencia del producto, forma de presentación, logotipo, entre otros). </w:t>
      </w:r>
    </w:p>
    <w:p w14:paraId="1521D2DC" w14:textId="77777777" w:rsidR="00E94C85" w:rsidRPr="00BB1B37" w:rsidRDefault="00E94C85" w:rsidP="00E94C85">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7</w:t>
      </w:r>
      <w:r w:rsidRPr="00BB1B37">
        <w:rPr>
          <w:rFonts w:ascii="Times New Roman" w:eastAsia="Calibri" w:hAnsi="Times New Roman" w:cs="Times New Roman"/>
          <w:b/>
          <w:kern w:val="0"/>
          <w:sz w:val="20"/>
          <w:szCs w:val="20"/>
          <w:lang w:val="es-ES"/>
          <w14:ligatures w14:val="none"/>
        </w:rPr>
        <w:t>. Conformidad</w:t>
      </w:r>
    </w:p>
    <w:p w14:paraId="4DA30D60" w14:textId="77777777" w:rsidR="00E94C85" w:rsidRPr="00BB1B37" w:rsidRDefault="00E94C85" w:rsidP="00E94C8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la prestación se regula por lo dispuesto en el artículo 144 del RLGCP, de acuerdo a lo siguiente:</w:t>
      </w:r>
    </w:p>
    <w:p w14:paraId="0344F259" w14:textId="77777777" w:rsidR="00E94C85" w:rsidRPr="00BB1B37" w:rsidRDefault="00E94C85" w:rsidP="00E94C8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será otorgada a través del Informe emitido por el jefe del Almacen de Medicamentos del Hospital Regional Cusco en un plazo máximo de siete (7) días de producida la recepción.</w:t>
      </w:r>
    </w:p>
    <w:p w14:paraId="0711E4FA" w14:textId="77777777" w:rsidR="00E94C85" w:rsidRPr="00BB1B37" w:rsidRDefault="00E94C85" w:rsidP="00E94C8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Para efectos de la emisión de la conformidad, el contratista debe presentar la siguiente documentación:</w:t>
      </w:r>
    </w:p>
    <w:p w14:paraId="5489F77B" w14:textId="77777777" w:rsidR="00E94C85" w:rsidRPr="00BB1B37" w:rsidRDefault="00E94C85" w:rsidP="00E94C85">
      <w:pPr>
        <w:numPr>
          <w:ilvl w:val="0"/>
          <w:numId w:val="7"/>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Guía de Remisión (Destinatario + SUNAT), debidamente suscrito detallando la fecha de recepción de los bienes.</w:t>
      </w:r>
    </w:p>
    <w:p w14:paraId="4BE7FE0B" w14:textId="77777777" w:rsidR="00E94C85" w:rsidRPr="00BB1B37" w:rsidRDefault="00E94C85" w:rsidP="00E94C8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De existir observaciones, El Almacen de Medicamentos del Hospital Regional Cusco, las comunica al CONTRATISTA, indicando claramente el sentido de estas, otorgándole un plazo para subsanar el cual no debe ser mayor al 30% del plazo del entregable correspondiente, dependiendo de la complejidad o sofisticación de las subsanaciones a realizar. Si pese al plazo otorgado, EL CONTRATISTA no cumpliese a cabalidad con la subsanación, la Entidad puede otorgar al CONTRATISTA periodos adicionales para las correcciones pertinentes. En este supuesto corresponde aplicar la penalidad por mora desde el vencimiento del plazo para subsanar sin considerar los días en los que pudiera incurrir la DEC para efectuar las revisiones y notificar las observaciones correspondientes.</w:t>
      </w:r>
    </w:p>
    <w:p w14:paraId="1E09CAC8" w14:textId="77777777" w:rsidR="00E94C85" w:rsidRPr="00BB1B37" w:rsidRDefault="00E94C85" w:rsidP="00E94C8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Este procedimiento no resulta aplicable cuando los bienes manifiestamente no cumplan con las características y condiciones ofrecidas, en cuyo caso El Almacen de Medicamentos del Hospital Regional Cusco no efectúa la recepción o no otorga la conformidad, según corresponda, debiendo considerarse como no ejecutada la prestación, aplicándose la penalidad que corresponda por cada día de atraso.</w:t>
      </w:r>
    </w:p>
    <w:p w14:paraId="78B52BE0" w14:textId="77777777" w:rsidR="00E94C85" w:rsidRPr="00BB1B37" w:rsidRDefault="00E94C85" w:rsidP="00E94C85">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8</w:t>
      </w:r>
      <w:r w:rsidRPr="00BB1B37">
        <w:rPr>
          <w:rFonts w:ascii="Times New Roman" w:eastAsia="Calibri" w:hAnsi="Times New Roman" w:cs="Times New Roman"/>
          <w:b/>
          <w:kern w:val="0"/>
          <w:sz w:val="20"/>
          <w:szCs w:val="20"/>
          <w:lang w:val="es-ES"/>
          <w14:ligatures w14:val="none"/>
        </w:rPr>
        <w:t>. Forma y Condiciones de Pago:</w:t>
      </w:r>
    </w:p>
    <w:p w14:paraId="59612CAE" w14:textId="77777777" w:rsidR="00E94C85" w:rsidRPr="00BB1B37" w:rsidRDefault="00E94C85" w:rsidP="00E94C8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pago se realizará en una sola armada, de conformidad con lo establecido en el artículo 67 de la Ley.</w:t>
      </w:r>
    </w:p>
    <w:p w14:paraId="7FFBF63C" w14:textId="77777777" w:rsidR="00E94C85" w:rsidRDefault="00E94C85" w:rsidP="00E94C8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Entidad paga las contraprestaciones pactadas a favor del contratista dentro de los diez (10) días hábiles siguientes de otorgada la conformidad por parte del área usuaria y es prorrogable, previa justificación de la demora, por cinco días hábiles. La Entidad realiza el pago de la contraprestación pactada a favor del contratista en SOLES, en un PAGO ÚNICO, luego de la recepción formal y completa de la documentación correspondiente, según lo establecido en el artículo 144 del Reglamento de la Ley N° 32069, Ley General de Contrataciones Públicas, aprobado por Decreto Supremo N O 009-2025-EF. </w:t>
      </w:r>
    </w:p>
    <w:p w14:paraId="002252A3" w14:textId="77777777" w:rsidR="00E94C85" w:rsidRDefault="00E94C85" w:rsidP="00E94C85">
      <w:pPr>
        <w:spacing w:line="276" w:lineRule="auto"/>
        <w:jc w:val="both"/>
        <w:rPr>
          <w:rFonts w:ascii="Times New Roman" w:eastAsia="Calibri" w:hAnsi="Times New Roman" w:cs="Times New Roman"/>
          <w:bCs/>
          <w:kern w:val="0"/>
          <w:sz w:val="20"/>
          <w:szCs w:val="20"/>
          <w:lang w:val="es-ES"/>
          <w14:ligatures w14:val="none"/>
        </w:rPr>
      </w:pPr>
    </w:p>
    <w:p w14:paraId="3FC8EDFD" w14:textId="77777777" w:rsidR="00E94C85" w:rsidRPr="00BB1B37" w:rsidRDefault="00E94C85" w:rsidP="00E94C85">
      <w:pPr>
        <w:spacing w:line="276" w:lineRule="auto"/>
        <w:jc w:val="both"/>
        <w:rPr>
          <w:rFonts w:ascii="Times New Roman" w:eastAsia="Calibri" w:hAnsi="Times New Roman" w:cs="Times New Roman"/>
          <w:bCs/>
          <w:kern w:val="0"/>
          <w:sz w:val="20"/>
          <w:szCs w:val="20"/>
          <w:lang w:val="es-ES"/>
          <w14:ligatures w14:val="none"/>
        </w:rPr>
      </w:pPr>
    </w:p>
    <w:p w14:paraId="1A5ED449" w14:textId="77777777" w:rsidR="00E94C85" w:rsidRPr="00BB1B37" w:rsidRDefault="00E94C85" w:rsidP="00E94C85">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Penalidades</w:t>
      </w:r>
    </w:p>
    <w:p w14:paraId="4302C06C" w14:textId="77777777" w:rsidR="00E94C85" w:rsidRPr="00BB1B37" w:rsidRDefault="00E94C85" w:rsidP="00E94C8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caso de retraso injustificado del contratista en la ejecución de las prestaciones objeto del contrato, la DEC le aplica automáticamente una penalidad por mora por cada día de atraso que le sea imputable, La penalidad se aplica automáticamente y se calcula de acuerdo con la siguiente fórmula:</w:t>
      </w:r>
    </w:p>
    <w:p w14:paraId="5B9CC926" w14:textId="77777777" w:rsidR="00E94C85" w:rsidRPr="00BB1B37" w:rsidRDefault="00E94C85" w:rsidP="00E94C8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noProof/>
          <w:kern w:val="0"/>
          <w:sz w:val="20"/>
          <w:szCs w:val="20"/>
          <w:lang w:val="es-ES"/>
          <w14:ligatures w14:val="none"/>
        </w:rPr>
        <mc:AlternateContent>
          <mc:Choice Requires="wps">
            <w:drawing>
              <wp:anchor distT="0" distB="0" distL="114300" distR="114300" simplePos="0" relativeHeight="251659264" behindDoc="0" locked="0" layoutInCell="1" allowOverlap="1" wp14:anchorId="108E8A49" wp14:editId="475BBE21">
                <wp:simplePos x="0" y="0"/>
                <wp:positionH relativeFrom="column">
                  <wp:posOffset>1529715</wp:posOffset>
                </wp:positionH>
                <wp:positionV relativeFrom="paragraph">
                  <wp:posOffset>195579</wp:posOffset>
                </wp:positionV>
                <wp:extent cx="819150" cy="0"/>
                <wp:effectExtent l="0" t="0" r="0" b="0"/>
                <wp:wrapNone/>
                <wp:docPr id="1950835075" name="Conector recto 736"/>
                <wp:cNvGraphicFramePr/>
                <a:graphic xmlns:a="http://schemas.openxmlformats.org/drawingml/2006/main">
                  <a:graphicData uri="http://schemas.microsoft.com/office/word/2010/wordprocessingShape">
                    <wps:wsp>
                      <wps:cNvCnPr/>
                      <wps:spPr>
                        <a:xfrm flipV="1">
                          <a:off x="0" y="0"/>
                          <a:ext cx="819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60664E6" id="Conector recto 73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45pt,15.4pt" to="184.9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" strokecolor="windowText" strokeweight=".5pt">
                <v:stroke joinstyle="miter"/>
              </v:line>
            </w:pict>
          </mc:Fallback>
        </mc:AlternateContent>
      </w:r>
      <w:r w:rsidRPr="00BB1B37">
        <w:rPr>
          <w:rFonts w:ascii="Times New Roman" w:eastAsia="Calibri" w:hAnsi="Times New Roman" w:cs="Times New Roman"/>
          <w:bCs/>
          <w:kern w:val="0"/>
          <w:sz w:val="20"/>
          <w:szCs w:val="20"/>
          <w:lang w:val="es-ES"/>
          <w14:ligatures w14:val="none"/>
        </w:rPr>
        <w:tab/>
        <w:t>Penalidad diaria    =    0.10 X monto</w:t>
      </w:r>
    </w:p>
    <w:p w14:paraId="28DD8F72" w14:textId="77777777" w:rsidR="00E94C85" w:rsidRPr="00BB1B37" w:rsidRDefault="00E94C85" w:rsidP="00E94C8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FX plazo en días</w:t>
      </w:r>
    </w:p>
    <w:p w14:paraId="56D4DDAE" w14:textId="77777777" w:rsidR="00E94C85" w:rsidRPr="00BB1B37" w:rsidRDefault="00E94C85" w:rsidP="00E94C8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Donde F tiene los siguientes valores: F 0.40</w:t>
      </w:r>
    </w:p>
    <w:p w14:paraId="3F49512D" w14:textId="77777777" w:rsidR="00E94C85" w:rsidRPr="00BB1B37" w:rsidRDefault="00E94C85" w:rsidP="00E94C8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Tanto el monto como el plazo se refieren, según corresponda, al monto vigente del contrato, componente o ítem que debió ejecutarse o, en caso de que estos involucren entregables cuantificables en monto y plazo, al monto y plazo del entregable que fuera materia de </w:t>
      </w:r>
      <w:proofErr w:type="spellStart"/>
      <w:proofErr w:type="gramStart"/>
      <w:r w:rsidRPr="00BB1B37">
        <w:rPr>
          <w:rFonts w:ascii="Times New Roman" w:eastAsia="Calibri" w:hAnsi="Times New Roman" w:cs="Times New Roman"/>
          <w:bCs/>
          <w:kern w:val="0"/>
          <w:sz w:val="20"/>
          <w:szCs w:val="20"/>
          <w:lang w:val="es-ES"/>
          <w14:ligatures w14:val="none"/>
        </w:rPr>
        <w:t>retraso.El</w:t>
      </w:r>
      <w:proofErr w:type="spellEnd"/>
      <w:proofErr w:type="gramEnd"/>
      <w:r w:rsidRPr="00BB1B37">
        <w:rPr>
          <w:rFonts w:ascii="Times New Roman" w:eastAsia="Calibri" w:hAnsi="Times New Roman" w:cs="Times New Roman"/>
          <w:bCs/>
          <w:kern w:val="0"/>
          <w:sz w:val="20"/>
          <w:szCs w:val="20"/>
          <w:lang w:val="es-ES"/>
          <w14:ligatures w14:val="none"/>
        </w:rPr>
        <w:t xml:space="preserve"> retraso se justifica a través de la solicitud 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Jefatura de Farmacia no da lugar al pago de gastos generales ni costos directos de ningún tipo, conforme al numeral 120,4 del artículo 120 del Reglamento de la Ley N O 32069, Ley General de Contrataciones Públicas, aprobado por Decreto Supremo N O 009-2025-EF. Las penalidades se deducen de los pagos a cuenta, pagos parciales o del pago final, según corresponda.</w:t>
      </w:r>
    </w:p>
    <w:p w14:paraId="7ABBF393" w14:textId="77777777" w:rsidR="00E94C85" w:rsidRPr="00BB1B37" w:rsidRDefault="00E94C85" w:rsidP="00E94C85">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9</w:t>
      </w:r>
      <w:r w:rsidRPr="00BB1B37">
        <w:rPr>
          <w:rFonts w:ascii="Times New Roman" w:eastAsia="Calibri" w:hAnsi="Times New Roman" w:cs="Times New Roman"/>
          <w:b/>
          <w:kern w:val="0"/>
          <w:sz w:val="20"/>
          <w:szCs w:val="20"/>
          <w:lang w:val="es-ES"/>
          <w14:ligatures w14:val="none"/>
        </w:rPr>
        <w:t>. Responsabilidad por Vicios Ocultos</w:t>
      </w:r>
      <w:r w:rsidRPr="00BB1B37">
        <w:rPr>
          <w:rFonts w:ascii="Times New Roman" w:eastAsia="Calibri" w:hAnsi="Times New Roman" w:cs="Times New Roman"/>
          <w:b/>
          <w:kern w:val="0"/>
          <w:sz w:val="20"/>
          <w:szCs w:val="20"/>
          <w:lang w:val="es-ES"/>
          <w14:ligatures w14:val="none"/>
        </w:rPr>
        <w:tab/>
      </w:r>
    </w:p>
    <w:p w14:paraId="177C5281" w14:textId="77777777" w:rsidR="00E94C85" w:rsidRPr="00BB1B37" w:rsidRDefault="00E94C85" w:rsidP="00E94C8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recepción de la prestación por parte de LA ENTIDAD no enerva su derecho a reclamar posteriormente por defectos o vicios u otras situaciones anómalas no detectables o no verificables durante la recepción de los productos farmacéuticos, por causas atribuibles al Contratista, debiendo proceder a la reposición o canje total del lote de los bienes que se hayan detectado en las situaciones descritas. El plazo máximo de responsabilidad del contratista es de dos (2) años, contados a partir de la conformidad otorgada por LA ENTIDAD El proveedor deberá presentar Declaración Jurada de Compromiso de Canje y/o reposición por vicios ocultos, los productos a ingresar en el canje tendrán una vigencia igual o mayor a lo ofertado en el proceso de selección</w:t>
      </w:r>
    </w:p>
    <w:p w14:paraId="1775DB55" w14:textId="77777777" w:rsidR="00E94C85" w:rsidRPr="00BB1B37" w:rsidRDefault="00E94C85" w:rsidP="00E94C85">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0</w:t>
      </w:r>
      <w:r w:rsidRPr="00BB1B37">
        <w:rPr>
          <w:rFonts w:ascii="Times New Roman" w:eastAsia="Calibri" w:hAnsi="Times New Roman" w:cs="Times New Roman"/>
          <w:b/>
          <w:kern w:val="0"/>
          <w:sz w:val="20"/>
          <w:szCs w:val="20"/>
          <w:lang w:val="es-ES"/>
          <w14:ligatures w14:val="none"/>
        </w:rPr>
        <w:t>. Otras Penalidades</w:t>
      </w:r>
    </w:p>
    <w:p w14:paraId="1F6C15C3" w14:textId="77777777" w:rsidR="00E94C85" w:rsidRDefault="00E94C85" w:rsidP="00E94C8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108B9111" w14:textId="77777777" w:rsidR="00E94C85" w:rsidRPr="00BB1B37" w:rsidRDefault="00E94C85" w:rsidP="00E94C85">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 Gestión de Riesgos</w:t>
      </w:r>
    </w:p>
    <w:p w14:paraId="5548E7A1" w14:textId="77777777" w:rsidR="00E94C85" w:rsidRPr="00BB1B37" w:rsidRDefault="00E94C85" w:rsidP="00E94C8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Las partes realizan la gestión de riesgos de acuerdo con lo establecido en el presente documento, a fin de tomar decisiones informadas, aprovechando el impacto de riesgos positivos y disminuyendo la probabilidad de los riesgos negativos y su impacto durante la ejecución contractual, considerando la finalidad pública de la contratación. </w:t>
      </w:r>
    </w:p>
    <w:p w14:paraId="68EAFD01" w14:textId="77777777" w:rsidR="00E94C85" w:rsidRPr="00BB1B37" w:rsidRDefault="00E94C85" w:rsidP="00E94C85">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 Anticorrupción y Antisoborno</w:t>
      </w:r>
    </w:p>
    <w:p w14:paraId="19F8F053" w14:textId="77777777" w:rsidR="00E94C85" w:rsidRPr="00BB1B37" w:rsidRDefault="00E94C85" w:rsidP="00E94C8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w:t>
      </w:r>
      <w:r w:rsidRPr="00BB1B37">
        <w:rPr>
          <w:rFonts w:ascii="Times New Roman" w:eastAsia="Calibri" w:hAnsi="Times New Roman" w:cs="Times New Roman"/>
          <w:bCs/>
          <w:kern w:val="0"/>
          <w:sz w:val="20"/>
          <w:szCs w:val="20"/>
          <w:lang w:val="es-ES"/>
          <w14:ligatures w14:val="none"/>
        </w:rPr>
        <w:lastRenderedPageBreak/>
        <w:t xml:space="preserve">públicos, locadores de servicios o proveedores de servicios del área usuaria, dependencia encargada de la contratación, actores del proceso de contratación y/o cualquier servidor de la Entidad, con la finalidad de 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conocimiento durante la ejecución del contrato con la Entidad. 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Finalmente, el incumplimiento de las obligaciones establecidas en esta cláusula, durante la ejecución contractual, otorga a la Entidad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 </w:t>
      </w:r>
    </w:p>
    <w:p w14:paraId="7E285546" w14:textId="77777777" w:rsidR="00E94C85" w:rsidRPr="00BB1B37" w:rsidRDefault="00E94C85" w:rsidP="00E94C8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 xml:space="preserve">. Solución de Controversias Contractuales: </w:t>
      </w:r>
      <w:r w:rsidRPr="00BB1B37">
        <w:rPr>
          <w:rFonts w:ascii="Times New Roman" w:eastAsia="Calibri" w:hAnsi="Times New Roman" w:cs="Times New Roman"/>
          <w:bCs/>
          <w:kern w:val="0"/>
          <w:sz w:val="20"/>
          <w:szCs w:val="20"/>
          <w:lang w:val="es-ES"/>
          <w14:ligatures w14:val="none"/>
        </w:rPr>
        <w:t xml:space="preserve">Las controversias que surjan entre las partes durante la ejecución del contrato se resuelven mediante conciliación, cuando se haya pactado el arbitraje </w:t>
      </w:r>
    </w:p>
    <w:p w14:paraId="6C5C5650" w14:textId="77777777" w:rsidR="00E94C85" w:rsidRPr="00BB1B37" w:rsidRDefault="00E94C85" w:rsidP="00E94C85">
      <w:pPr>
        <w:spacing w:line="276" w:lineRule="auto"/>
        <w:jc w:val="both"/>
        <w:rPr>
          <w:rFonts w:ascii="Times New Roman" w:eastAsia="Calibri" w:hAnsi="Times New Roman" w:cs="Times New Roman"/>
          <w:bCs/>
          <w:kern w:val="0"/>
          <w:sz w:val="20"/>
          <w:szCs w:val="20"/>
          <w:lang w:val="es-ES"/>
          <w14:ligatures w14:val="none"/>
        </w:rPr>
      </w:pPr>
    </w:p>
    <w:p w14:paraId="2D682CE1" w14:textId="77777777" w:rsidR="00E94C85" w:rsidRPr="00BB1B37" w:rsidRDefault="00E94C85" w:rsidP="00E94C85">
      <w:pPr>
        <w:rPr>
          <w:lang w:val="es-ES"/>
        </w:rPr>
      </w:pPr>
    </w:p>
    <w:p w14:paraId="6F8CDC00" w14:textId="77777777" w:rsidR="002957A6" w:rsidRPr="00BB1B37" w:rsidRDefault="002957A6" w:rsidP="00E94C85">
      <w:pPr>
        <w:spacing w:line="276" w:lineRule="auto"/>
        <w:jc w:val="both"/>
        <w:rPr>
          <w:lang w:val="es-ES"/>
        </w:rPr>
      </w:pPr>
    </w:p>
    <w:sectPr w:rsidR="002957A6" w:rsidRPr="00BB1B3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5C3419" w14:textId="77777777" w:rsidR="0008347A" w:rsidRDefault="0008347A" w:rsidP="00BB1B37">
      <w:pPr>
        <w:spacing w:after="0" w:line="240" w:lineRule="auto"/>
      </w:pPr>
      <w:r>
        <w:separator/>
      </w:r>
    </w:p>
  </w:endnote>
  <w:endnote w:type="continuationSeparator" w:id="0">
    <w:p w14:paraId="701D9799" w14:textId="77777777" w:rsidR="0008347A" w:rsidRDefault="0008347A" w:rsidP="00BB1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61EEA" w14:textId="71F90EC8"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EPG</w:t>
    </w:r>
    <w:r>
      <w:rPr>
        <w:rFonts w:ascii="Calibri" w:eastAsia="Calibri" w:hAnsi="Calibri" w:cs="Times New Roman"/>
        <w:kern w:val="0"/>
        <w:sz w:val="22"/>
        <w:szCs w:val="22"/>
        <w:lang w:val="en-US"/>
        <w14:ligatures w14:val="none"/>
      </w:rPr>
      <w:t>-esq</w:t>
    </w:r>
  </w:p>
  <w:p w14:paraId="3E4CCC80" w14:textId="77777777"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SF/HRC</w:t>
    </w:r>
  </w:p>
  <w:p w14:paraId="1581FB47" w14:textId="77777777" w:rsidR="00BB1B37" w:rsidRDefault="00BB1B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BF964" w14:textId="77777777" w:rsidR="0008347A" w:rsidRDefault="0008347A" w:rsidP="00BB1B37">
      <w:pPr>
        <w:spacing w:after="0" w:line="240" w:lineRule="auto"/>
      </w:pPr>
      <w:r>
        <w:separator/>
      </w:r>
    </w:p>
  </w:footnote>
  <w:footnote w:type="continuationSeparator" w:id="0">
    <w:p w14:paraId="4790C5D8" w14:textId="77777777" w:rsidR="0008347A" w:rsidRDefault="0008347A" w:rsidP="00BB1B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DB9C5" w14:textId="77777777" w:rsidR="00BB1B37" w:rsidRDefault="00BB1B37" w:rsidP="00BB1B37">
    <w:pPr>
      <w:pStyle w:val="Encabezado"/>
      <w:jc w:val="center"/>
      <w:rPr>
        <w:rFonts w:ascii="Arial" w:hAnsi="Arial"/>
        <w:b/>
        <w:sz w:val="28"/>
        <w:lang w:val="es-MX"/>
      </w:rPr>
    </w:pPr>
    <w:r>
      <w:rPr>
        <w:rFonts w:ascii="Arial" w:hAnsi="Arial"/>
        <w:b/>
        <w:noProof/>
        <w:sz w:val="28"/>
      </w:rPr>
      <mc:AlternateContent>
        <mc:Choice Requires="wps">
          <w:drawing>
            <wp:anchor distT="0" distB="0" distL="114300" distR="114300" simplePos="0" relativeHeight="251663360" behindDoc="0" locked="0" layoutInCell="1" allowOverlap="1" wp14:anchorId="719732E9" wp14:editId="50890D6E">
              <wp:simplePos x="0" y="0"/>
              <wp:positionH relativeFrom="column">
                <wp:posOffset>3272790</wp:posOffset>
              </wp:positionH>
              <wp:positionV relativeFrom="paragraph">
                <wp:posOffset>-307340</wp:posOffset>
              </wp:positionV>
              <wp:extent cx="1847850" cy="600075"/>
              <wp:effectExtent l="0" t="0" r="0" b="0"/>
              <wp:wrapNone/>
              <wp:docPr id="158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600075"/>
                      </a:xfrm>
                      <a:prstGeom prst="rect">
                        <a:avLst/>
                      </a:prstGeom>
                      <a:noFill/>
                      <a:ln w="9525">
                        <a:noFill/>
                        <a:miter lim="800000"/>
                      </a:ln>
                    </wps:spPr>
                    <wps:txb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type w14:anchorId="719732E9" id="_x0000_t202" coordsize="21600,21600" o:spt="202" path="m,l,21600r21600,l21600,xe">
              <v:stroke joinstyle="miter"/>
              <v:path gradientshapeok="t" o:connecttype="rect"/>
            </v:shapetype>
            <v:shape id="Cuadro de texto 2" o:spid="_x0000_s1026" type="#_x0000_t202" style="position:absolute;left:0;text-align:left;margin-left:257.7pt;margin-top:-24.2pt;width:145.5pt;height:4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" filled="f" stroked="f">
              <v:textbo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v:textbox>
            </v:shape>
          </w:pict>
        </mc:Fallback>
      </mc:AlternateContent>
    </w:r>
    <w:r>
      <w:rPr>
        <w:rFonts w:ascii="Arial" w:hAnsi="Arial"/>
        <w:b/>
        <w:noProof/>
        <w:sz w:val="28"/>
      </w:rPr>
      <mc:AlternateContent>
        <mc:Choice Requires="wps">
          <w:drawing>
            <wp:anchor distT="0" distB="0" distL="114300" distR="114300" simplePos="0" relativeHeight="251662336" behindDoc="0" locked="0" layoutInCell="1" allowOverlap="1" wp14:anchorId="34D5074F" wp14:editId="6B862D13">
              <wp:simplePos x="0" y="0"/>
              <wp:positionH relativeFrom="column">
                <wp:posOffset>1510030</wp:posOffset>
              </wp:positionH>
              <wp:positionV relativeFrom="paragraph">
                <wp:posOffset>-219075</wp:posOffset>
              </wp:positionV>
              <wp:extent cx="1655445" cy="349885"/>
              <wp:effectExtent l="0" t="0" r="0" b="0"/>
              <wp:wrapNone/>
              <wp:docPr id="25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5445" cy="349885"/>
                      </a:xfrm>
                      <a:prstGeom prst="rect">
                        <a:avLst/>
                      </a:prstGeom>
                      <a:noFill/>
                      <a:ln>
                        <a:noFill/>
                      </a:ln>
                    </wps:spPr>
                    <wps:txb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wps:txbx>
                    <wps:bodyPr rot="0" vert="horz" wrap="square" lIns="91440" tIns="45720" rIns="91440" bIns="45720" anchor="t" anchorCtr="0" upright="1">
                      <a:noAutofit/>
                    </wps:bodyPr>
                  </wps:wsp>
                </a:graphicData>
              </a:graphic>
            </wp:anchor>
          </w:drawing>
        </mc:Choice>
        <mc:Fallback>
          <w:pict>
            <v:shape w14:anchorId="34D5074F" id="Text Box 16" o:spid="_x0000_s1027" type="#_x0000_t202" style="position:absolute;left:0;text-align:left;margin-left:118.9pt;margin-top:-17.25pt;width:130.35pt;height:27.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" filled="f" stroked="f">
              <v:textbo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v:textbox>
            </v:shape>
          </w:pict>
        </mc:Fallback>
      </mc:AlternateContent>
    </w:r>
    <w:r>
      <w:rPr>
        <w:rFonts w:ascii="Arial" w:hAnsi="Arial"/>
        <w:b/>
        <w:noProof/>
        <w:sz w:val="28"/>
      </w:rPr>
      <w:drawing>
        <wp:anchor distT="0" distB="0" distL="114300" distR="114300" simplePos="0" relativeHeight="251660288" behindDoc="1" locked="0" layoutInCell="1" allowOverlap="1" wp14:anchorId="157C27C4" wp14:editId="570E5967">
          <wp:simplePos x="0" y="0"/>
          <wp:positionH relativeFrom="column">
            <wp:posOffset>-251460</wp:posOffset>
          </wp:positionH>
          <wp:positionV relativeFrom="paragraph">
            <wp:posOffset>-228600</wp:posOffset>
          </wp:positionV>
          <wp:extent cx="3486150" cy="381000"/>
          <wp:effectExtent l="19050" t="0" r="0" b="0"/>
          <wp:wrapNone/>
          <wp:docPr id="48082194" name="Imagen 5" descr="FORMATO DOCUMENTO PLANT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 name="Imagen 5" descr="FORMATO DOCUMENTO PLANTILLA"/>
                  <pic:cNvPicPr>
                    <a:picLocks noChangeAspect="1" noChangeArrowheads="1"/>
                  </pic:cNvPicPr>
                </pic:nvPicPr>
                <pic:blipFill>
                  <a:blip r:embed="rId1">
                    <a:lum contrast="20000"/>
                  </a:blip>
                  <a:srcRect/>
                  <a:stretch>
                    <a:fillRect/>
                  </a:stretch>
                </pic:blipFill>
                <pic:spPr>
                  <a:xfrm>
                    <a:off x="0" y="0"/>
                    <a:ext cx="3486150" cy="381000"/>
                  </a:xfrm>
                  <a:prstGeom prst="rect">
                    <a:avLst/>
                  </a:prstGeom>
                  <a:solidFill>
                    <a:schemeClr val="bg1">
                      <a:lumMod val="50000"/>
                    </a:schemeClr>
                  </a:solid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14:anchorId="5C889E08" wp14:editId="00237C0A">
          <wp:simplePos x="0" y="0"/>
          <wp:positionH relativeFrom="column">
            <wp:posOffset>5200015</wp:posOffset>
          </wp:positionH>
          <wp:positionV relativeFrom="paragraph">
            <wp:posOffset>-305435</wp:posOffset>
          </wp:positionV>
          <wp:extent cx="1109980" cy="381000"/>
          <wp:effectExtent l="0" t="0" r="0" b="0"/>
          <wp:wrapNone/>
          <wp:docPr id="8920655" name="Imagen 5" descr="GA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 name="Imagen 5" descr="GARF"/>
                  <pic:cNvPicPr>
                    <a:picLocks noChangeAspect="1" noChangeArrowheads="1"/>
                  </pic:cNvPicPr>
                </pic:nvPicPr>
                <pic:blipFill>
                  <a:blip r:embed="rId2">
                    <a:clrChange>
                      <a:clrFrom>
                        <a:srgbClr val="FFFFFF"/>
                      </a:clrFrom>
                      <a:clrTo>
                        <a:srgbClr val="FFFFFF">
                          <a:alpha val="0"/>
                        </a:srgbClr>
                      </a:clrTo>
                    </a:clrChange>
                  </a:blip>
                  <a:srcRect/>
                  <a:stretch>
                    <a:fillRect/>
                  </a:stretch>
                </pic:blipFill>
                <pic:spPr>
                  <a:xfrm>
                    <a:off x="0" y="0"/>
                    <a:ext cx="1109980" cy="381000"/>
                  </a:xfrm>
                  <a:prstGeom prst="rect">
                    <a:avLst/>
                  </a:prstGeom>
                  <a:noFill/>
                  <a:ln w="9525">
                    <a:noFill/>
                    <a:miter lim="800000"/>
                    <a:headEnd/>
                    <a:tailEnd/>
                  </a:ln>
                </pic:spPr>
              </pic:pic>
            </a:graphicData>
          </a:graphic>
        </wp:anchor>
      </w:drawing>
    </w:r>
  </w:p>
  <w:p w14:paraId="08DCA498" w14:textId="77777777" w:rsidR="00BB1B37" w:rsidRDefault="00BB1B37" w:rsidP="00BB1B37">
    <w:pPr>
      <w:pStyle w:val="Encabezado"/>
      <w:tabs>
        <w:tab w:val="left" w:pos="795"/>
        <w:tab w:val="left" w:pos="7350"/>
      </w:tabs>
      <w:rPr>
        <w:rFonts w:ascii="Arial" w:hAnsi="Arial"/>
        <w:b/>
        <w:sz w:val="28"/>
        <w:lang w:val="es-MX"/>
      </w:rPr>
    </w:pPr>
    <w:r>
      <w:rPr>
        <w:noProof/>
      </w:rPr>
      <mc:AlternateContent>
        <mc:Choice Requires="wps">
          <w:drawing>
            <wp:anchor distT="0" distB="0" distL="114300" distR="114300" simplePos="0" relativeHeight="251659264" behindDoc="0" locked="0" layoutInCell="0" allowOverlap="1" wp14:anchorId="6C5A4B05" wp14:editId="5EFCF248">
              <wp:simplePos x="0" y="0"/>
              <wp:positionH relativeFrom="column">
                <wp:posOffset>-55245</wp:posOffset>
              </wp:positionH>
              <wp:positionV relativeFrom="paragraph">
                <wp:posOffset>144145</wp:posOffset>
              </wp:positionV>
              <wp:extent cx="5947410" cy="0"/>
              <wp:effectExtent l="30480" t="30480" r="32385" b="36195"/>
              <wp:wrapNone/>
              <wp:docPr id="25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7410" cy="0"/>
                      </a:xfrm>
                      <a:prstGeom prst="line">
                        <a:avLst/>
                      </a:prstGeom>
                      <a:noFill/>
                      <a:ln w="57150" cmpd="thinThick">
                        <a:solidFill>
                          <a:srgbClr val="000000"/>
                        </a:solidFill>
                        <a:round/>
                      </a:ln>
                    </wps:spPr>
                    <wps:bodyPr/>
                  </wps:wsp>
                </a:graphicData>
              </a:graphic>
            </wp:anchor>
          </w:drawing>
        </mc:Choice>
        <mc:Fallback>
          <w:pict>
            <v:line w14:anchorId="624CFD23" id="Line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5pt,11.35pt" to="463.9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" o:allowincell="f" strokeweight="4.5pt">
              <v:stroke linestyle="thinThick"/>
            </v:line>
          </w:pict>
        </mc:Fallback>
      </mc:AlternateContent>
    </w:r>
    <w:r>
      <w:rPr>
        <w:rFonts w:ascii="Arial" w:hAnsi="Arial"/>
        <w:b/>
        <w:sz w:val="28"/>
        <w:lang w:val="es-MX"/>
      </w:rPr>
      <w:tab/>
    </w:r>
    <w:r>
      <w:rPr>
        <w:rFonts w:ascii="Arial" w:hAnsi="Arial"/>
        <w:b/>
        <w:sz w:val="28"/>
        <w:lang w:val="es-MX"/>
      </w:rPr>
      <w:tab/>
    </w:r>
    <w:r>
      <w:rPr>
        <w:rFonts w:ascii="Arial" w:hAnsi="Arial"/>
        <w:b/>
        <w:sz w:val="28"/>
        <w:lang w:val="es-MX"/>
      </w:rPr>
      <w:tab/>
    </w:r>
  </w:p>
  <w:p w14:paraId="260A4B81" w14:textId="32594942" w:rsidR="00BB1B37" w:rsidRPr="00BB1B37" w:rsidRDefault="00BB1B37">
    <w:pPr>
      <w:pStyle w:val="Encabezado"/>
      <w:rPr>
        <w:lang w:val="es-ES_tradnl"/>
      </w:rPr>
    </w:pPr>
    <w:r>
      <w:rPr>
        <w:rFonts w:ascii="Arial" w:hAnsi="Arial"/>
        <w:b/>
        <w:sz w:val="28"/>
        <w:lang w:val="es-MX"/>
      </w:rPr>
      <w:t xml:space="preserve">                 </w:t>
    </w:r>
    <w:r>
      <w:rPr>
        <w:rFonts w:ascii="Times New Roman" w:eastAsia="Times New Roman" w:hAnsi="Times New Roman" w:cs="Times New Roman"/>
        <w:b/>
        <w:color w:val="040C28"/>
        <w:sz w:val="20"/>
        <w:szCs w:val="30"/>
        <w:lang w:val="es-ES_tradnl" w:eastAsia="es-ES"/>
      </w:rPr>
      <w:t>“AÑO DE LA ESPERANZA Y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34915"/>
    <w:multiLevelType w:val="hybridMultilevel"/>
    <w:tmpl w:val="C6B4A408"/>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E4B67EA"/>
    <w:multiLevelType w:val="hybridMultilevel"/>
    <w:tmpl w:val="9A74E41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6C92689"/>
    <w:multiLevelType w:val="hybridMultilevel"/>
    <w:tmpl w:val="2E4C610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782595D"/>
    <w:multiLevelType w:val="hybridMultilevel"/>
    <w:tmpl w:val="23C8F8D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D61639E"/>
    <w:multiLevelType w:val="hybridMultilevel"/>
    <w:tmpl w:val="F78C7A9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5AB4287"/>
    <w:multiLevelType w:val="hybridMultilevel"/>
    <w:tmpl w:val="11CAD92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0DD5A6D"/>
    <w:multiLevelType w:val="hybridMultilevel"/>
    <w:tmpl w:val="9F96EC2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7A527076"/>
    <w:multiLevelType w:val="hybridMultilevel"/>
    <w:tmpl w:val="7A8010E2"/>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415201135">
    <w:abstractNumId w:val="0"/>
  </w:num>
  <w:num w:numId="2" w16cid:durableId="1626424609">
    <w:abstractNumId w:val="4"/>
  </w:num>
  <w:num w:numId="3" w16cid:durableId="1677070939">
    <w:abstractNumId w:val="6"/>
  </w:num>
  <w:num w:numId="4" w16cid:durableId="2138136059">
    <w:abstractNumId w:val="2"/>
  </w:num>
  <w:num w:numId="5" w16cid:durableId="608240903">
    <w:abstractNumId w:val="7"/>
  </w:num>
  <w:num w:numId="6" w16cid:durableId="1107844436">
    <w:abstractNumId w:val="1"/>
  </w:num>
  <w:num w:numId="7" w16cid:durableId="1552812517">
    <w:abstractNumId w:val="5"/>
  </w:num>
  <w:num w:numId="8" w16cid:durableId="14313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B37"/>
    <w:rsid w:val="00083345"/>
    <w:rsid w:val="0008347A"/>
    <w:rsid w:val="001E4D86"/>
    <w:rsid w:val="0025440C"/>
    <w:rsid w:val="002957A6"/>
    <w:rsid w:val="0038027F"/>
    <w:rsid w:val="00422740"/>
    <w:rsid w:val="004F340D"/>
    <w:rsid w:val="005219B3"/>
    <w:rsid w:val="00575BB0"/>
    <w:rsid w:val="0058035D"/>
    <w:rsid w:val="005F23C4"/>
    <w:rsid w:val="006317E7"/>
    <w:rsid w:val="00662DAC"/>
    <w:rsid w:val="007367AE"/>
    <w:rsid w:val="00787161"/>
    <w:rsid w:val="008B1A9B"/>
    <w:rsid w:val="008B7AC6"/>
    <w:rsid w:val="00934250"/>
    <w:rsid w:val="00961A24"/>
    <w:rsid w:val="00A54AA7"/>
    <w:rsid w:val="00A815CD"/>
    <w:rsid w:val="00B079E6"/>
    <w:rsid w:val="00BB1B37"/>
    <w:rsid w:val="00BE109D"/>
    <w:rsid w:val="00C01AD3"/>
    <w:rsid w:val="00E07E21"/>
    <w:rsid w:val="00E42CB6"/>
    <w:rsid w:val="00E94C85"/>
    <w:rsid w:val="00EF3A3F"/>
    <w:rsid w:val="00EF7847"/>
    <w:rsid w:val="00F46973"/>
    <w:rsid w:val="00F9261D"/>
    <w:rsid w:val="00FA009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FC1E0"/>
  <w15:chartTrackingRefBased/>
  <w15:docId w15:val="{79604CE0-3925-4490-9384-8146FE10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B1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1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1B3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1B3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1B3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1B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1B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1B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1B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1B3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1B3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1B3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1B3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1B3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1B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1B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1B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1B37"/>
    <w:rPr>
      <w:rFonts w:eastAsiaTheme="majorEastAsia" w:cstheme="majorBidi"/>
      <w:color w:val="272727" w:themeColor="text1" w:themeTint="D8"/>
    </w:rPr>
  </w:style>
  <w:style w:type="paragraph" w:styleId="Ttulo">
    <w:name w:val="Title"/>
    <w:basedOn w:val="Normal"/>
    <w:next w:val="Normal"/>
    <w:link w:val="TtuloCar"/>
    <w:uiPriority w:val="10"/>
    <w:qFormat/>
    <w:rsid w:val="00BB1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1B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1B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1B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1B37"/>
    <w:pPr>
      <w:spacing w:before="160"/>
      <w:jc w:val="center"/>
    </w:pPr>
    <w:rPr>
      <w:i/>
      <w:iCs/>
      <w:color w:val="404040" w:themeColor="text1" w:themeTint="BF"/>
    </w:rPr>
  </w:style>
  <w:style w:type="character" w:customStyle="1" w:styleId="CitaCar">
    <w:name w:val="Cita Car"/>
    <w:basedOn w:val="Fuentedeprrafopredeter"/>
    <w:link w:val="Cita"/>
    <w:uiPriority w:val="29"/>
    <w:rsid w:val="00BB1B37"/>
    <w:rPr>
      <w:i/>
      <w:iCs/>
      <w:color w:val="404040" w:themeColor="text1" w:themeTint="BF"/>
    </w:rPr>
  </w:style>
  <w:style w:type="paragraph" w:styleId="Prrafodelista">
    <w:name w:val="List Paragraph"/>
    <w:basedOn w:val="Normal"/>
    <w:uiPriority w:val="34"/>
    <w:qFormat/>
    <w:rsid w:val="00BB1B37"/>
    <w:pPr>
      <w:ind w:left="720"/>
      <w:contextualSpacing/>
    </w:pPr>
  </w:style>
  <w:style w:type="character" w:styleId="nfasisintenso">
    <w:name w:val="Intense Emphasis"/>
    <w:basedOn w:val="Fuentedeprrafopredeter"/>
    <w:uiPriority w:val="21"/>
    <w:qFormat/>
    <w:rsid w:val="00BB1B37"/>
    <w:rPr>
      <w:i/>
      <w:iCs/>
      <w:color w:val="0F4761" w:themeColor="accent1" w:themeShade="BF"/>
    </w:rPr>
  </w:style>
  <w:style w:type="paragraph" w:styleId="Citadestacada">
    <w:name w:val="Intense Quote"/>
    <w:basedOn w:val="Normal"/>
    <w:next w:val="Normal"/>
    <w:link w:val="CitadestacadaCar"/>
    <w:uiPriority w:val="30"/>
    <w:qFormat/>
    <w:rsid w:val="00BB1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1B37"/>
    <w:rPr>
      <w:i/>
      <w:iCs/>
      <w:color w:val="0F4761" w:themeColor="accent1" w:themeShade="BF"/>
    </w:rPr>
  </w:style>
  <w:style w:type="character" w:styleId="Referenciaintensa">
    <w:name w:val="Intense Reference"/>
    <w:basedOn w:val="Fuentedeprrafopredeter"/>
    <w:uiPriority w:val="32"/>
    <w:qFormat/>
    <w:rsid w:val="00BB1B37"/>
    <w:rPr>
      <w:b/>
      <w:bCs/>
      <w:smallCaps/>
      <w:color w:val="0F4761" w:themeColor="accent1" w:themeShade="BF"/>
      <w:spacing w:val="5"/>
    </w:rPr>
  </w:style>
  <w:style w:type="table" w:customStyle="1" w:styleId="TableGrid">
    <w:name w:val="TableGrid"/>
    <w:rsid w:val="00BB1B37"/>
    <w:pPr>
      <w:spacing w:after="0" w:line="240" w:lineRule="auto"/>
    </w:pPr>
    <w:rPr>
      <w:rFonts w:eastAsia="Times New Roman"/>
      <w:lang w:eastAsia="es-PE"/>
    </w:rPr>
    <w:tblPr>
      <w:tblCellMar>
        <w:top w:w="0" w:type="dxa"/>
        <w:left w:w="0" w:type="dxa"/>
        <w:bottom w:w="0" w:type="dxa"/>
        <w:right w:w="0" w:type="dxa"/>
      </w:tblCellMar>
    </w:tblPr>
  </w:style>
  <w:style w:type="paragraph" w:styleId="Encabezado">
    <w:name w:val="header"/>
    <w:basedOn w:val="Normal"/>
    <w:link w:val="EncabezadoCar"/>
    <w:uiPriority w:val="99"/>
    <w:unhideWhenUsed/>
    <w:rsid w:val="00BB1B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BB1B37"/>
  </w:style>
  <w:style w:type="paragraph" w:styleId="Piedepgina">
    <w:name w:val="footer"/>
    <w:basedOn w:val="Normal"/>
    <w:link w:val="PiedepginaCar"/>
    <w:uiPriority w:val="99"/>
    <w:unhideWhenUsed/>
    <w:rsid w:val="00BB1B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1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2094</Words>
  <Characters>11522</Characters>
  <Application>Microsoft Office Word</Application>
  <DocSecurity>0</DocSecurity>
  <Lines>96</Lines>
  <Paragraphs>27</Paragraphs>
  <ScaleCrop>false</ScaleCrop>
  <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Hospital Regional Cusco</dc:creator>
  <cp:keywords/>
  <dc:description/>
  <cp:lastModifiedBy>Hospital Regional Cusco</cp:lastModifiedBy>
  <cp:revision>3</cp:revision>
  <dcterms:created xsi:type="dcterms:W3CDTF">2026-06-11T17:54:00Z</dcterms:created>
  <dcterms:modified xsi:type="dcterms:W3CDTF">2026-06-12T15:08:00Z</dcterms:modified>
</cp:coreProperties>
</file>