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A692F7" w14:textId="77777777" w:rsidR="00BB1B37" w:rsidRPr="00BB1B37" w:rsidRDefault="00BB1B37" w:rsidP="00BB1B37">
      <w:pPr>
        <w:spacing w:line="276" w:lineRule="auto"/>
        <w:jc w:val="center"/>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ESPECIFICACIONES TÉCNICAS PARA LA ADQUISICIÓN DEL PRODUCTOS FARMACÉUTICOS ESCENCIALES</w:t>
      </w:r>
    </w:p>
    <w:tbl>
      <w:tblPr>
        <w:tblStyle w:val="TableGrid"/>
        <w:tblW w:w="9377" w:type="dxa"/>
        <w:tblInd w:w="-24" w:type="dxa"/>
        <w:tblCellMar>
          <w:left w:w="110" w:type="dxa"/>
          <w:right w:w="107" w:type="dxa"/>
        </w:tblCellMar>
        <w:tblLook w:val="04A0" w:firstRow="1" w:lastRow="0" w:firstColumn="1" w:lastColumn="0" w:noHBand="0" w:noVBand="1"/>
      </w:tblPr>
      <w:tblGrid>
        <w:gridCol w:w="3282"/>
        <w:gridCol w:w="6095"/>
      </w:tblGrid>
      <w:tr w:rsidR="00BB1B37" w:rsidRPr="00BB1B37" w14:paraId="0589233B" w14:textId="77777777" w:rsidTr="005357F8">
        <w:trPr>
          <w:trHeight w:val="350"/>
        </w:trPr>
        <w:tc>
          <w:tcPr>
            <w:tcW w:w="3282" w:type="dxa"/>
            <w:tcBorders>
              <w:top w:val="single" w:sz="2" w:space="0" w:color="000000"/>
              <w:left w:val="single" w:sz="2" w:space="0" w:color="000000"/>
              <w:bottom w:val="single" w:sz="2" w:space="0" w:color="000000"/>
              <w:right w:val="single" w:sz="2" w:space="0" w:color="000000"/>
            </w:tcBorders>
            <w:vAlign w:val="center"/>
          </w:tcPr>
          <w:p w14:paraId="1860CA81" w14:textId="23AEE6DB" w:rsidR="00BB1B37" w:rsidRPr="00BB1B37" w:rsidRDefault="00BB1B37" w:rsidP="00BB1B37">
            <w:pPr>
              <w:spacing w:after="33" w:line="226" w:lineRule="auto"/>
              <w:ind w:left="275" w:right="10" w:firstLine="5"/>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Area Usuaria</w:t>
            </w:r>
          </w:p>
        </w:tc>
        <w:tc>
          <w:tcPr>
            <w:tcW w:w="6095" w:type="dxa"/>
            <w:tcBorders>
              <w:top w:val="single" w:sz="2" w:space="0" w:color="000000"/>
              <w:left w:val="single" w:sz="2" w:space="0" w:color="000000"/>
              <w:bottom w:val="single" w:sz="2" w:space="0" w:color="000000"/>
              <w:right w:val="single" w:sz="2" w:space="0" w:color="000000"/>
            </w:tcBorders>
            <w:vAlign w:val="center"/>
          </w:tcPr>
          <w:p w14:paraId="544566E4" w14:textId="77777777" w:rsidR="00BB1B37" w:rsidRPr="00BB1B37" w:rsidRDefault="00BB1B37" w:rsidP="00BB1B37">
            <w:pPr>
              <w:spacing w:after="33" w:line="226" w:lineRule="auto"/>
              <w:ind w:left="28" w:right="10"/>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Servicio de Farmacia – Hospital Regional Cusco</w:t>
            </w:r>
          </w:p>
        </w:tc>
      </w:tr>
      <w:tr w:rsidR="00BB1B37" w:rsidRPr="00BB1B37" w14:paraId="48426DE7" w14:textId="77777777" w:rsidTr="005357F8">
        <w:trPr>
          <w:trHeight w:val="269"/>
        </w:trPr>
        <w:tc>
          <w:tcPr>
            <w:tcW w:w="3282" w:type="dxa"/>
            <w:tcBorders>
              <w:top w:val="single" w:sz="2" w:space="0" w:color="000000"/>
              <w:left w:val="single" w:sz="2" w:space="0" w:color="000000"/>
              <w:bottom w:val="single" w:sz="2" w:space="0" w:color="000000"/>
              <w:right w:val="single" w:sz="2" w:space="0" w:color="000000"/>
            </w:tcBorders>
            <w:vAlign w:val="center"/>
          </w:tcPr>
          <w:p w14:paraId="79193F35" w14:textId="77777777" w:rsidR="00BB1B37" w:rsidRPr="00BB1B37" w:rsidRDefault="00BB1B37" w:rsidP="00BB1B37">
            <w:pPr>
              <w:spacing w:after="33" w:line="226" w:lineRule="auto"/>
              <w:ind w:left="275" w:right="10" w:firstLine="5"/>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 xml:space="preserve">Meta </w:t>
            </w:r>
            <w:proofErr w:type="spellStart"/>
            <w:r w:rsidRPr="00BB1B37">
              <w:rPr>
                <w:rFonts w:ascii="Times New Roman" w:eastAsia="Calibri" w:hAnsi="Times New Roman" w:cs="Times New Roman"/>
                <w:bCs/>
                <w:color w:val="000000"/>
                <w:kern w:val="0"/>
                <w:sz w:val="20"/>
                <w:szCs w:val="20"/>
                <w:lang w:val="en-US"/>
                <w14:ligatures w14:val="none"/>
              </w:rPr>
              <w:t>Presupuestaria</w:t>
            </w:r>
            <w:proofErr w:type="spellEnd"/>
          </w:p>
        </w:tc>
        <w:tc>
          <w:tcPr>
            <w:tcW w:w="6095" w:type="dxa"/>
            <w:tcBorders>
              <w:top w:val="single" w:sz="2" w:space="0" w:color="000000"/>
              <w:left w:val="single" w:sz="2" w:space="0" w:color="000000"/>
              <w:bottom w:val="single" w:sz="2" w:space="0" w:color="000000"/>
              <w:right w:val="single" w:sz="2" w:space="0" w:color="000000"/>
            </w:tcBorders>
            <w:vAlign w:val="center"/>
          </w:tcPr>
          <w:p w14:paraId="589ADDF9" w14:textId="77777777" w:rsidR="00BB1B37" w:rsidRPr="00BB1B37" w:rsidRDefault="00BB1B37" w:rsidP="00BB1B37">
            <w:pPr>
              <w:spacing w:after="33" w:line="226" w:lineRule="auto"/>
              <w:ind w:left="28" w:right="10"/>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C007 - META 165</w:t>
            </w:r>
          </w:p>
        </w:tc>
      </w:tr>
      <w:tr w:rsidR="00BB1B37" w:rsidRPr="00BB1B37" w14:paraId="53BA4D7C" w14:textId="77777777" w:rsidTr="005357F8">
        <w:trPr>
          <w:trHeight w:val="429"/>
        </w:trPr>
        <w:tc>
          <w:tcPr>
            <w:tcW w:w="3282" w:type="dxa"/>
            <w:tcBorders>
              <w:top w:val="single" w:sz="2" w:space="0" w:color="000000"/>
              <w:left w:val="single" w:sz="2" w:space="0" w:color="000000"/>
              <w:bottom w:val="single" w:sz="2" w:space="0" w:color="000000"/>
              <w:right w:val="single" w:sz="2" w:space="0" w:color="000000"/>
            </w:tcBorders>
            <w:vAlign w:val="center"/>
          </w:tcPr>
          <w:p w14:paraId="377F0598" w14:textId="77777777" w:rsidR="00BB1B37" w:rsidRPr="00BB1B37" w:rsidRDefault="00BB1B37" w:rsidP="00BB1B37">
            <w:pPr>
              <w:spacing w:after="33" w:line="226" w:lineRule="auto"/>
              <w:ind w:left="275" w:right="10" w:firstLine="5"/>
              <w:jc w:val="both"/>
              <w:rPr>
                <w:rFonts w:ascii="Times New Roman" w:eastAsia="Calibri" w:hAnsi="Times New Roman" w:cs="Times New Roman"/>
                <w:bCs/>
                <w:color w:val="000000"/>
                <w:kern w:val="0"/>
                <w:sz w:val="20"/>
                <w:szCs w:val="20"/>
                <w:lang w:val="en-US"/>
                <w14:ligatures w14:val="none"/>
              </w:rPr>
            </w:pPr>
            <w:proofErr w:type="spellStart"/>
            <w:r w:rsidRPr="00BB1B37">
              <w:rPr>
                <w:rFonts w:ascii="Times New Roman" w:eastAsia="Calibri" w:hAnsi="Times New Roman" w:cs="Times New Roman"/>
                <w:bCs/>
                <w:color w:val="000000"/>
                <w:kern w:val="0"/>
                <w:sz w:val="20"/>
                <w:szCs w:val="20"/>
                <w:lang w:val="en-US"/>
                <w14:ligatures w14:val="none"/>
              </w:rPr>
              <w:t>Actividad</w:t>
            </w:r>
            <w:proofErr w:type="spellEnd"/>
            <w:r w:rsidRPr="00BB1B37">
              <w:rPr>
                <w:rFonts w:ascii="Times New Roman" w:eastAsia="Calibri" w:hAnsi="Times New Roman" w:cs="Times New Roman"/>
                <w:bCs/>
                <w:color w:val="000000"/>
                <w:kern w:val="0"/>
                <w:sz w:val="20"/>
                <w:szCs w:val="20"/>
                <w:lang w:val="en-US"/>
                <w14:ligatures w14:val="none"/>
              </w:rPr>
              <w:t xml:space="preserve"> del POI</w:t>
            </w:r>
          </w:p>
        </w:tc>
        <w:tc>
          <w:tcPr>
            <w:tcW w:w="6095" w:type="dxa"/>
            <w:tcBorders>
              <w:top w:val="single" w:sz="2" w:space="0" w:color="000000"/>
              <w:left w:val="single" w:sz="2" w:space="0" w:color="000000"/>
              <w:bottom w:val="single" w:sz="2" w:space="0" w:color="000000"/>
              <w:right w:val="single" w:sz="2" w:space="0" w:color="000000"/>
            </w:tcBorders>
            <w:vAlign w:val="center"/>
          </w:tcPr>
          <w:p w14:paraId="1F06676C" w14:textId="77777777" w:rsidR="00BB1B37" w:rsidRPr="00BB1B37" w:rsidRDefault="00BB1B37" w:rsidP="00BB1B37">
            <w:pPr>
              <w:spacing w:after="33" w:line="226" w:lineRule="auto"/>
              <w:ind w:left="28" w:right="10"/>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 xml:space="preserve">Gestión de Productos Farmacéuticos y Dispositivos Médicos – </w:t>
            </w:r>
            <w:proofErr w:type="spellStart"/>
            <w:r w:rsidRPr="00BB1B37">
              <w:rPr>
                <w:rFonts w:ascii="Times New Roman" w:eastAsia="Calibri" w:hAnsi="Times New Roman" w:cs="Times New Roman"/>
                <w:bCs/>
                <w:color w:val="000000"/>
                <w:kern w:val="0"/>
                <w:sz w:val="20"/>
                <w:szCs w:val="20"/>
                <w:lang w:val="en-US"/>
                <w14:ligatures w14:val="none"/>
              </w:rPr>
              <w:t>Proveer</w:t>
            </w:r>
            <w:proofErr w:type="spellEnd"/>
            <w:r w:rsidRPr="00BB1B37">
              <w:rPr>
                <w:rFonts w:ascii="Times New Roman" w:eastAsia="Calibri" w:hAnsi="Times New Roman" w:cs="Times New Roman"/>
                <w:bCs/>
                <w:color w:val="000000"/>
                <w:kern w:val="0"/>
                <w:sz w:val="20"/>
                <w:szCs w:val="20"/>
                <w:lang w:val="en-US"/>
                <w14:ligatures w14:val="none"/>
              </w:rPr>
              <w:t xml:space="preserve"> de Medicamentos a la población</w:t>
            </w:r>
          </w:p>
        </w:tc>
      </w:tr>
      <w:tr w:rsidR="00BB1B37" w:rsidRPr="00BB1B37" w14:paraId="10A3FF8D" w14:textId="77777777" w:rsidTr="005357F8">
        <w:trPr>
          <w:trHeight w:val="522"/>
        </w:trPr>
        <w:tc>
          <w:tcPr>
            <w:tcW w:w="3282" w:type="dxa"/>
            <w:tcBorders>
              <w:top w:val="single" w:sz="2" w:space="0" w:color="000000"/>
              <w:left w:val="single" w:sz="2" w:space="0" w:color="000000"/>
              <w:bottom w:val="single" w:sz="2" w:space="0" w:color="000000"/>
              <w:right w:val="single" w:sz="2" w:space="0" w:color="000000"/>
            </w:tcBorders>
            <w:vAlign w:val="center"/>
          </w:tcPr>
          <w:p w14:paraId="2D3B712E" w14:textId="77777777" w:rsidR="00BB1B37" w:rsidRPr="00BB1B37" w:rsidRDefault="00BB1B37" w:rsidP="00BB1B37">
            <w:pPr>
              <w:spacing w:after="33" w:line="226" w:lineRule="auto"/>
              <w:ind w:left="275" w:right="10" w:firstLine="5"/>
              <w:jc w:val="both"/>
              <w:rPr>
                <w:rFonts w:ascii="Times New Roman" w:eastAsia="Calibri" w:hAnsi="Times New Roman" w:cs="Times New Roman"/>
                <w:bCs/>
                <w:color w:val="000000"/>
                <w:kern w:val="0"/>
                <w:sz w:val="20"/>
                <w:szCs w:val="20"/>
                <w:lang w:val="en-US"/>
                <w14:ligatures w14:val="none"/>
              </w:rPr>
            </w:pPr>
            <w:proofErr w:type="spellStart"/>
            <w:r w:rsidRPr="00BB1B37">
              <w:rPr>
                <w:rFonts w:ascii="Times New Roman" w:eastAsia="Calibri" w:hAnsi="Times New Roman" w:cs="Times New Roman"/>
                <w:bCs/>
                <w:color w:val="000000"/>
                <w:kern w:val="0"/>
                <w:sz w:val="20"/>
                <w:szCs w:val="20"/>
                <w:lang w:val="en-US"/>
                <w14:ligatures w14:val="none"/>
              </w:rPr>
              <w:t>Denominación</w:t>
            </w:r>
            <w:proofErr w:type="spellEnd"/>
            <w:r w:rsidRPr="00BB1B37">
              <w:rPr>
                <w:rFonts w:ascii="Times New Roman" w:eastAsia="Calibri" w:hAnsi="Times New Roman" w:cs="Times New Roman"/>
                <w:bCs/>
                <w:color w:val="000000"/>
                <w:kern w:val="0"/>
                <w:sz w:val="20"/>
                <w:szCs w:val="20"/>
                <w:lang w:val="en-US"/>
                <w14:ligatures w14:val="none"/>
              </w:rPr>
              <w:t xml:space="preserve"> de la </w:t>
            </w:r>
            <w:proofErr w:type="spellStart"/>
            <w:r w:rsidRPr="00BB1B37">
              <w:rPr>
                <w:rFonts w:ascii="Times New Roman" w:eastAsia="Calibri" w:hAnsi="Times New Roman" w:cs="Times New Roman"/>
                <w:bCs/>
                <w:color w:val="000000"/>
                <w:kern w:val="0"/>
                <w:sz w:val="20"/>
                <w:szCs w:val="20"/>
                <w:lang w:val="en-US"/>
                <w14:ligatures w14:val="none"/>
              </w:rPr>
              <w:t>Contratación</w:t>
            </w:r>
            <w:proofErr w:type="spellEnd"/>
          </w:p>
        </w:tc>
        <w:tc>
          <w:tcPr>
            <w:tcW w:w="6095" w:type="dxa"/>
            <w:tcBorders>
              <w:top w:val="single" w:sz="2" w:space="0" w:color="000000"/>
              <w:left w:val="single" w:sz="2" w:space="0" w:color="000000"/>
              <w:bottom w:val="single" w:sz="2" w:space="0" w:color="000000"/>
              <w:right w:val="single" w:sz="2" w:space="0" w:color="000000"/>
            </w:tcBorders>
            <w:vAlign w:val="center"/>
          </w:tcPr>
          <w:p w14:paraId="5C71B119" w14:textId="77777777" w:rsidR="00BB1B37" w:rsidRPr="00BB1B37" w:rsidRDefault="00BB1B37" w:rsidP="00BB1B37">
            <w:pPr>
              <w:spacing w:after="33" w:line="226" w:lineRule="auto"/>
              <w:ind w:left="28" w:right="10"/>
              <w:jc w:val="both"/>
              <w:rPr>
                <w:rFonts w:ascii="Times New Roman" w:eastAsia="Calibri" w:hAnsi="Times New Roman" w:cs="Times New Roman"/>
                <w:bCs/>
                <w:color w:val="000000"/>
                <w:kern w:val="0"/>
                <w:sz w:val="20"/>
                <w:szCs w:val="20"/>
                <w:lang w:val="en-US"/>
                <w14:ligatures w14:val="none"/>
              </w:rPr>
            </w:pPr>
            <w:proofErr w:type="spellStart"/>
            <w:r w:rsidRPr="00BB1B37">
              <w:rPr>
                <w:rFonts w:ascii="Times New Roman" w:eastAsia="Calibri" w:hAnsi="Times New Roman" w:cs="Times New Roman"/>
                <w:bCs/>
                <w:color w:val="000000"/>
                <w:kern w:val="0"/>
                <w:sz w:val="20"/>
                <w:szCs w:val="20"/>
                <w:lang w:val="en-US"/>
                <w14:ligatures w14:val="none"/>
              </w:rPr>
              <w:t>Adquisición</w:t>
            </w:r>
            <w:proofErr w:type="spellEnd"/>
            <w:r w:rsidRPr="00BB1B37">
              <w:rPr>
                <w:rFonts w:ascii="Times New Roman" w:eastAsia="Calibri" w:hAnsi="Times New Roman" w:cs="Times New Roman"/>
                <w:bCs/>
                <w:color w:val="000000"/>
                <w:kern w:val="0"/>
                <w:sz w:val="20"/>
                <w:szCs w:val="20"/>
                <w:lang w:val="en-US"/>
                <w14:ligatures w14:val="none"/>
              </w:rPr>
              <w:t xml:space="preserve"> del </w:t>
            </w:r>
            <w:proofErr w:type="spellStart"/>
            <w:r w:rsidRPr="00BB1B37">
              <w:rPr>
                <w:rFonts w:ascii="Times New Roman" w:eastAsia="Calibri" w:hAnsi="Times New Roman" w:cs="Times New Roman"/>
                <w:bCs/>
                <w:color w:val="000000"/>
                <w:kern w:val="0"/>
                <w:sz w:val="20"/>
                <w:szCs w:val="20"/>
                <w:lang w:val="en-US"/>
                <w14:ligatures w14:val="none"/>
              </w:rPr>
              <w:t>Producto</w:t>
            </w:r>
            <w:proofErr w:type="spellEnd"/>
            <w:r w:rsidRPr="00BB1B37">
              <w:rPr>
                <w:rFonts w:ascii="Times New Roman" w:eastAsia="Calibri" w:hAnsi="Times New Roman" w:cs="Times New Roman"/>
                <w:bCs/>
                <w:color w:val="000000"/>
                <w:kern w:val="0"/>
                <w:sz w:val="20"/>
                <w:szCs w:val="20"/>
                <w:lang w:val="en-US"/>
                <w14:ligatures w14:val="none"/>
              </w:rPr>
              <w:t xml:space="preserve"> Farmacéuticos Escenciales para el Servicio de Farmacia – Hospital Regional Cusco</w:t>
            </w:r>
          </w:p>
        </w:tc>
      </w:tr>
    </w:tbl>
    <w:p w14:paraId="7E8F742C"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p>
    <w:p w14:paraId="6068C5C7"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sidRPr="00BB1B37">
        <w:rPr>
          <w:rFonts w:ascii="Times New Roman" w:eastAsia="Calibri" w:hAnsi="Times New Roman" w:cs="Times New Roman"/>
          <w:b/>
          <w:kern w:val="0"/>
          <w:sz w:val="20"/>
          <w:szCs w:val="20"/>
          <w:lang w:val="es-ES"/>
          <w14:ligatures w14:val="none"/>
        </w:rPr>
        <w:tab/>
        <w:t>Finalidad Pública de la Contratación.</w:t>
      </w:r>
    </w:p>
    <w:p w14:paraId="2E783EA2"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presente requerimiento tiene por finalidad adquirir productos farmacéuticos destinados a conservar, mantener, recuperar y rehabilitar la salud de las personas que reciben prestaciones de salud en el Hospital Regional Cusco</w:t>
      </w:r>
    </w:p>
    <w:p w14:paraId="56079070"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2.</w:t>
      </w:r>
      <w:r w:rsidRPr="00BB1B37">
        <w:rPr>
          <w:rFonts w:ascii="Times New Roman" w:eastAsia="Calibri" w:hAnsi="Times New Roman" w:cs="Times New Roman"/>
          <w:b/>
          <w:kern w:val="0"/>
          <w:sz w:val="20"/>
          <w:szCs w:val="20"/>
          <w:lang w:val="es-ES"/>
          <w14:ligatures w14:val="none"/>
        </w:rPr>
        <w:tab/>
        <w:t>Antecedentes.</w:t>
      </w:r>
    </w:p>
    <w:p w14:paraId="7B3CEC61"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Hospital Regional del Cusco mediante el Servicio de Farmacia tiene por finalidad modernizar, optimizar y garantizar los procesos necesarios para el abastecimiento de los recursos estratégicos en salud, permitiendo que los mismos estén disponibles y sean asequibles a la población</w:t>
      </w:r>
    </w:p>
    <w:p w14:paraId="6B454151"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3.</w:t>
      </w:r>
      <w:r w:rsidRPr="00BB1B37">
        <w:rPr>
          <w:rFonts w:ascii="Times New Roman" w:eastAsia="Calibri" w:hAnsi="Times New Roman" w:cs="Times New Roman"/>
          <w:b/>
          <w:kern w:val="0"/>
          <w:sz w:val="20"/>
          <w:szCs w:val="20"/>
          <w:lang w:val="es-ES"/>
          <w14:ligatures w14:val="none"/>
        </w:rPr>
        <w:tab/>
        <w:t>Objeto de la Contratación.</w:t>
      </w:r>
    </w:p>
    <w:p w14:paraId="5AE7B8D6"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3.1 Objetivo General</w:t>
      </w:r>
    </w:p>
    <w:p w14:paraId="06AABFB0" w14:textId="77777777" w:rsidR="00BB1B37" w:rsidRPr="00BB1B37" w:rsidRDefault="00BB1B37" w:rsidP="00BB1B37">
      <w:pPr>
        <w:numPr>
          <w:ilvl w:val="0"/>
          <w:numId w:val="1"/>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color w:val="000000"/>
          <w:sz w:val="20"/>
          <w:szCs w:val="20"/>
          <w:lang w:eastAsia="es-PE"/>
        </w:rPr>
        <w:t>Adquisición del Producto Farmacéuticos Escenciales para el Servicio de Farmacia – Hospital Regional Cusco</w:t>
      </w:r>
      <w:r w:rsidRPr="00BB1B37">
        <w:rPr>
          <w:rFonts w:ascii="Times New Roman" w:eastAsia="Times New Roman" w:hAnsi="Times New Roman" w:cs="Times New Roman"/>
          <w:bCs/>
          <w:kern w:val="0"/>
          <w:sz w:val="20"/>
          <w:szCs w:val="20"/>
          <w:lang w:val="es-ES" w:eastAsia="es-ES"/>
          <w14:ligatures w14:val="none"/>
        </w:rPr>
        <w:t xml:space="preserve"> </w:t>
      </w:r>
    </w:p>
    <w:p w14:paraId="5F888386" w14:textId="77777777" w:rsidR="00BB1B37" w:rsidRPr="00BB1B37" w:rsidRDefault="00BB1B37" w:rsidP="00BB1B37">
      <w:pPr>
        <w:spacing w:after="0" w:line="276" w:lineRule="auto"/>
        <w:ind w:left="720"/>
        <w:contextualSpacing/>
        <w:jc w:val="both"/>
        <w:rPr>
          <w:rFonts w:ascii="Times New Roman" w:eastAsia="Times New Roman" w:hAnsi="Times New Roman" w:cs="Times New Roman"/>
          <w:b/>
          <w:kern w:val="0"/>
          <w:sz w:val="20"/>
          <w:szCs w:val="20"/>
          <w:lang w:val="es-ES" w:eastAsia="es-ES"/>
          <w14:ligatures w14:val="none"/>
        </w:rPr>
      </w:pPr>
    </w:p>
    <w:p w14:paraId="132A9B8D"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3.2 Objetivo Especifico</w:t>
      </w:r>
    </w:p>
    <w:p w14:paraId="649E2AF7" w14:textId="77777777" w:rsidR="00BB1B37" w:rsidRPr="00BB1B37" w:rsidRDefault="00BB1B37" w:rsidP="00BB1B37">
      <w:pPr>
        <w:numPr>
          <w:ilvl w:val="0"/>
          <w:numId w:val="2"/>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Brindar atención de abastecimiento de Productos Farmacéuticos Escenciales a la población que acude al Hospital Regional del Cusco.</w:t>
      </w:r>
    </w:p>
    <w:p w14:paraId="22E32F28" w14:textId="77777777" w:rsidR="00BB1B37" w:rsidRPr="00BB1B37" w:rsidRDefault="00BB1B37" w:rsidP="00BB1B37">
      <w:pPr>
        <w:numPr>
          <w:ilvl w:val="0"/>
          <w:numId w:val="2"/>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Mantener obligatoriamente y de manera permanente, stock de seguridad de Productos Farmacéuticos Escenciales.</w:t>
      </w:r>
    </w:p>
    <w:p w14:paraId="3EB593F5"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p>
    <w:p w14:paraId="56F9EB41"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w:t>
      </w:r>
      <w:r w:rsidRPr="00BB1B37">
        <w:rPr>
          <w:rFonts w:ascii="Times New Roman" w:eastAsia="Calibri" w:hAnsi="Times New Roman" w:cs="Times New Roman"/>
          <w:b/>
          <w:kern w:val="0"/>
          <w:sz w:val="20"/>
          <w:szCs w:val="20"/>
          <w:lang w:val="es-ES"/>
          <w14:ligatures w14:val="none"/>
        </w:rPr>
        <w:tab/>
        <w:t>Alcance y Descripción de los bienes contratar:</w:t>
      </w:r>
    </w:p>
    <w:p w14:paraId="4CC300DE" w14:textId="0B3F7BC3" w:rsidR="00BB1B37" w:rsidRPr="00BB1B37" w:rsidRDefault="0025440C" w:rsidP="00BB1B37">
      <w:pPr>
        <w:spacing w:line="276" w:lineRule="auto"/>
        <w:jc w:val="both"/>
        <w:rPr>
          <w:rFonts w:ascii="Times New Roman" w:eastAsia="Calibri" w:hAnsi="Times New Roman" w:cs="Times New Roman"/>
          <w:b/>
          <w:kern w:val="0"/>
          <w:sz w:val="20"/>
          <w:szCs w:val="20"/>
          <w:lang w:val="es-ES"/>
          <w14:ligatures w14:val="none"/>
        </w:rPr>
      </w:pPr>
      <w:r w:rsidRPr="0025440C">
        <w:rPr>
          <w:noProof/>
        </w:rPr>
        <w:drawing>
          <wp:inline distT="0" distB="0" distL="0" distR="0" wp14:anchorId="7CD9C857" wp14:editId="41419AD2">
            <wp:extent cx="5400040" cy="368300"/>
            <wp:effectExtent l="0" t="0" r="0" b="0"/>
            <wp:docPr id="116227224"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00040" cy="368300"/>
                    </a:xfrm>
                    <a:prstGeom prst="rect">
                      <a:avLst/>
                    </a:prstGeom>
                    <a:noFill/>
                    <a:ln>
                      <a:noFill/>
                    </a:ln>
                  </pic:spPr>
                </pic:pic>
              </a:graphicData>
            </a:graphic>
          </wp:inline>
        </w:drawing>
      </w:r>
    </w:p>
    <w:p w14:paraId="1382B878" w14:textId="77777777" w:rsidR="008C6C8A" w:rsidRPr="00BB1B37" w:rsidRDefault="008C6C8A" w:rsidP="008C6C8A">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4.1 Características Técnicas:</w:t>
      </w:r>
    </w:p>
    <w:p w14:paraId="18EB8A99" w14:textId="77777777" w:rsidR="008C6C8A" w:rsidRPr="00BB1B37" w:rsidRDefault="008C6C8A" w:rsidP="008C6C8A">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producto farmacéutico objeto de la presente contratación, deben contar con las siguientes características:</w:t>
      </w:r>
    </w:p>
    <w:p w14:paraId="1F30C023" w14:textId="77777777" w:rsidR="008C6C8A" w:rsidRPr="00BB1B37" w:rsidRDefault="008C6C8A" w:rsidP="008C6C8A">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  Deben cumplir cada una de las características de calidad según los requisitos establecidos en la farmacopea vigente a la cual se acoge, acorde a lo autorizado en su Registro Sanitario. Cuando la forma farmacéutica del producto farmacéutico no se encuentre en las farmacopeas aceptadas por ley, el producto farmacéutico deberá cumplir con las especificaciones técnicas de calidad declaradas en la técnica analítica propia del fabricante de acuerdo a lo aceptado en su Registro Sanitario.</w:t>
      </w:r>
    </w:p>
    <w:p w14:paraId="2C47CD2B" w14:textId="77777777" w:rsidR="008C6C8A" w:rsidRPr="00BB1B37" w:rsidRDefault="008C6C8A" w:rsidP="008C6C8A">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4.2 Condiciones de Operación:</w:t>
      </w:r>
    </w:p>
    <w:p w14:paraId="5996A4EA" w14:textId="77777777" w:rsidR="008C6C8A" w:rsidRDefault="008C6C8A" w:rsidP="008C6C8A">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No Aplica</w:t>
      </w:r>
    </w:p>
    <w:p w14:paraId="03418AFD" w14:textId="77777777" w:rsidR="008C6C8A" w:rsidRPr="00BB1B37" w:rsidRDefault="008C6C8A" w:rsidP="008C6C8A">
      <w:pPr>
        <w:spacing w:line="276" w:lineRule="auto"/>
        <w:jc w:val="both"/>
        <w:rPr>
          <w:rFonts w:ascii="Times New Roman" w:eastAsia="Calibri" w:hAnsi="Times New Roman" w:cs="Times New Roman"/>
          <w:bCs/>
          <w:kern w:val="0"/>
          <w:sz w:val="20"/>
          <w:szCs w:val="20"/>
          <w:lang w:val="es-ES"/>
          <w14:ligatures w14:val="none"/>
        </w:rPr>
      </w:pPr>
    </w:p>
    <w:p w14:paraId="047DC78F" w14:textId="77777777" w:rsidR="008C6C8A" w:rsidRPr="00BB1B37" w:rsidRDefault="008C6C8A" w:rsidP="008C6C8A">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lastRenderedPageBreak/>
        <w:t>4.3. Embalaje y Rotulo:</w:t>
      </w:r>
    </w:p>
    <w:p w14:paraId="685D5C8A" w14:textId="77777777" w:rsidR="008C6C8A" w:rsidRPr="00BB1B37" w:rsidRDefault="008C6C8A" w:rsidP="008C6C8A">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4.3.1. Envase</w:t>
      </w:r>
    </w:p>
    <w:p w14:paraId="60B415AE" w14:textId="77777777" w:rsidR="008C6C8A" w:rsidRPr="00BB1B37" w:rsidRDefault="008C6C8A" w:rsidP="008C6C8A">
      <w:pPr>
        <w:numPr>
          <w:ilvl w:val="0"/>
          <w:numId w:val="3"/>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Envase inmediato: Envase según lo autorizado en el Registro Sanitario, que asegure la conservación y hermeticidad del producto, el mismo que deberá contener rotulado impreso.</w:t>
      </w:r>
    </w:p>
    <w:p w14:paraId="77B092EB" w14:textId="77777777" w:rsidR="008C6C8A" w:rsidRPr="00BB1B37" w:rsidRDefault="008C6C8A" w:rsidP="008C6C8A">
      <w:pPr>
        <w:numPr>
          <w:ilvl w:val="0"/>
          <w:numId w:val="3"/>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Envase mediato: Envase autorizado en el Registro Sanitario, que permita proteger el producto durante su transporte y almacenamiento.</w:t>
      </w:r>
    </w:p>
    <w:p w14:paraId="4C0131FD" w14:textId="77777777" w:rsidR="008C6C8A" w:rsidRPr="00BB1B37" w:rsidRDefault="008C6C8A" w:rsidP="008C6C8A">
      <w:pPr>
        <w:spacing w:after="0" w:line="276" w:lineRule="auto"/>
        <w:ind w:left="720"/>
        <w:contextualSpacing/>
        <w:jc w:val="both"/>
        <w:rPr>
          <w:rFonts w:ascii="Times New Roman" w:eastAsia="Times New Roman" w:hAnsi="Times New Roman" w:cs="Times New Roman"/>
          <w:bCs/>
          <w:kern w:val="0"/>
          <w:sz w:val="20"/>
          <w:szCs w:val="20"/>
          <w:lang w:val="es-ES" w:eastAsia="es-ES"/>
          <w14:ligatures w14:val="none"/>
        </w:rPr>
      </w:pPr>
    </w:p>
    <w:p w14:paraId="64E7910C" w14:textId="77777777" w:rsidR="008C6C8A" w:rsidRPr="00BB1B37" w:rsidRDefault="008C6C8A" w:rsidP="008C6C8A">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4.3.2. Embalaje</w:t>
      </w:r>
    </w:p>
    <w:p w14:paraId="22B466E8" w14:textId="77777777" w:rsidR="008C6C8A" w:rsidRPr="00BB1B37" w:rsidRDefault="008C6C8A" w:rsidP="008C6C8A">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El embalaje de los productos farmacéuticos deberá cumplir con los siguientes requisitos: </w:t>
      </w:r>
    </w:p>
    <w:p w14:paraId="7DDC9B2F" w14:textId="77777777" w:rsidR="008C6C8A" w:rsidRPr="00BB1B37" w:rsidRDefault="008C6C8A" w:rsidP="008C6C8A">
      <w:pPr>
        <w:numPr>
          <w:ilvl w:val="0"/>
          <w:numId w:val="4"/>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Cajas de cartón nuevas que garanticen la integridad, orden, conservación, transporte y adecuado almacenamiento.</w:t>
      </w:r>
    </w:p>
    <w:p w14:paraId="133A502A" w14:textId="77777777" w:rsidR="008C6C8A" w:rsidRPr="00BB1B37" w:rsidRDefault="008C6C8A" w:rsidP="008C6C8A">
      <w:pPr>
        <w:numPr>
          <w:ilvl w:val="0"/>
          <w:numId w:val="4"/>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Cajas que faciliten su conteo y fácil apilamiento, precisando el número de cajas apilables, será el que determine el fabricante para su proceso de almacenaje.</w:t>
      </w:r>
    </w:p>
    <w:p w14:paraId="3F2218ED" w14:textId="77777777" w:rsidR="008C6C8A" w:rsidRPr="00BB1B37" w:rsidRDefault="008C6C8A" w:rsidP="008C6C8A">
      <w:pPr>
        <w:numPr>
          <w:ilvl w:val="0"/>
          <w:numId w:val="4"/>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Cajas debidamente rotuladas indicando nombre del Producto Farmacéutico, concentración, forma farmacéutica, presentación, cantidad, lote, fecha de vencimiento, nombre del proveedor, especificaciones para la conservación y almacenamiento.</w:t>
      </w:r>
    </w:p>
    <w:p w14:paraId="1A230262" w14:textId="77777777" w:rsidR="008C6C8A" w:rsidRPr="00BB1B37" w:rsidRDefault="008C6C8A" w:rsidP="008C6C8A">
      <w:pPr>
        <w:numPr>
          <w:ilvl w:val="0"/>
          <w:numId w:val="4"/>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Dicha información podrá ser indicada en etiquetas. Aplica a caja master, es decir a caja completa del Producto Farmacéutico.</w:t>
      </w:r>
    </w:p>
    <w:p w14:paraId="4C1F2B9D" w14:textId="77777777" w:rsidR="008C6C8A" w:rsidRPr="00BB1B37" w:rsidRDefault="008C6C8A" w:rsidP="008C6C8A">
      <w:pPr>
        <w:spacing w:after="0" w:line="276" w:lineRule="auto"/>
        <w:ind w:left="720"/>
        <w:contextualSpacing/>
        <w:jc w:val="both"/>
        <w:rPr>
          <w:rFonts w:ascii="Times New Roman" w:eastAsia="Times New Roman" w:hAnsi="Times New Roman" w:cs="Times New Roman"/>
          <w:bCs/>
          <w:kern w:val="0"/>
          <w:sz w:val="20"/>
          <w:szCs w:val="20"/>
          <w:lang w:val="es-ES" w:eastAsia="es-ES"/>
          <w14:ligatures w14:val="none"/>
        </w:rPr>
      </w:pPr>
    </w:p>
    <w:p w14:paraId="62D900D9" w14:textId="77777777" w:rsidR="008C6C8A" w:rsidRPr="00BB1B37" w:rsidRDefault="008C6C8A" w:rsidP="008C6C8A">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4.3.3. Rotulado de los envases mediato e inmediato</w:t>
      </w:r>
    </w:p>
    <w:p w14:paraId="3A02645E" w14:textId="77777777" w:rsidR="008C6C8A" w:rsidRPr="00BB1B37" w:rsidRDefault="008C6C8A" w:rsidP="008C6C8A">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Los rotulados de los envases mediato e inmediato, deben corresponder al producto farmacéutico terminado de acuerdo a lo autorizado en su Registro Sanitario; debe ser impresa con tinta indeleble y resistente a la manipulación. Tratándose del número de lote y fecha de expiración, éstos también podrán ser impresos en alto o bajo relieve.</w:t>
      </w:r>
    </w:p>
    <w:p w14:paraId="08D13455" w14:textId="77777777" w:rsidR="008C6C8A" w:rsidRPr="00BB1B37" w:rsidRDefault="008C6C8A" w:rsidP="008C6C8A">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4.3.4. Inserto</w:t>
      </w:r>
    </w:p>
    <w:p w14:paraId="5CD14D9C" w14:textId="77777777" w:rsidR="008C6C8A" w:rsidRPr="00BB1B37" w:rsidRDefault="008C6C8A" w:rsidP="008C6C8A">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Es obligatorio la inclusión del inserto con la información autorizada en su registro sanitario, según corresponda </w:t>
      </w:r>
    </w:p>
    <w:p w14:paraId="649B445E" w14:textId="77777777" w:rsidR="008C6C8A" w:rsidRPr="00BB1B37" w:rsidRDefault="008C6C8A" w:rsidP="008C6C8A">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 xml:space="preserve"> 4.4. Vigencia del producto:</w:t>
      </w:r>
    </w:p>
    <w:p w14:paraId="339ABD2A" w14:textId="77777777" w:rsidR="008C6C8A" w:rsidRPr="00BB1B37" w:rsidRDefault="008C6C8A" w:rsidP="008C6C8A">
      <w:pPr>
        <w:numPr>
          <w:ilvl w:val="0"/>
          <w:numId w:val="5"/>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 xml:space="preserve">La vigencia mínima del medicamento debe ser igual o mayor </w:t>
      </w:r>
      <w:r>
        <w:rPr>
          <w:rFonts w:ascii="Times New Roman" w:eastAsia="Times New Roman" w:hAnsi="Times New Roman" w:cs="Times New Roman"/>
          <w:bCs/>
          <w:kern w:val="0"/>
          <w:sz w:val="20"/>
          <w:szCs w:val="20"/>
          <w:lang w:val="es-ES" w:eastAsia="es-ES"/>
          <w14:ligatures w14:val="none"/>
        </w:rPr>
        <w:t xml:space="preserve">a </w:t>
      </w:r>
      <w:r w:rsidRPr="00BB1B37">
        <w:rPr>
          <w:rFonts w:ascii="Times New Roman" w:eastAsia="Times New Roman" w:hAnsi="Times New Roman" w:cs="Times New Roman"/>
          <w:bCs/>
          <w:kern w:val="0"/>
          <w:sz w:val="20"/>
          <w:szCs w:val="20"/>
          <w:lang w:val="es-ES" w:eastAsia="es-ES"/>
          <w14:ligatures w14:val="none"/>
        </w:rPr>
        <w:t>dieciocho (18) meses, al momento de la entrega en el almacén de la entidad.</w:t>
      </w:r>
    </w:p>
    <w:p w14:paraId="5257C721" w14:textId="77777777" w:rsidR="008C6C8A" w:rsidRPr="00BB1B37" w:rsidRDefault="008C6C8A" w:rsidP="008C6C8A">
      <w:pPr>
        <w:numPr>
          <w:ilvl w:val="0"/>
          <w:numId w:val="5"/>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Para el caso de una vigencia igual o mayor a doce (12) meses, el proveedor deberá adjuntar una carta de compromiso de canje por vencimiento, el cual será presentado al momento de internar el producto correspondiente.</w:t>
      </w:r>
    </w:p>
    <w:p w14:paraId="0C7F12C9" w14:textId="77777777" w:rsidR="008C6C8A" w:rsidRPr="00BB1B37" w:rsidRDefault="008C6C8A" w:rsidP="008C6C8A">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plazo de entrega contado a partir del día siguiente de notificada la orden de compra de acuerdo al cronograma establecido.</w:t>
      </w:r>
    </w:p>
    <w:p w14:paraId="02005BAD" w14:textId="77777777" w:rsidR="008C6C8A" w:rsidRPr="00BB1B37" w:rsidRDefault="008C6C8A" w:rsidP="008C6C8A">
      <w:pPr>
        <w:spacing w:line="240"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5</w:t>
      </w:r>
      <w:r w:rsidRPr="00BB1B37">
        <w:rPr>
          <w:rFonts w:ascii="Times New Roman" w:eastAsia="Calibri" w:hAnsi="Times New Roman" w:cs="Times New Roman"/>
          <w:b/>
          <w:kern w:val="0"/>
          <w:sz w:val="20"/>
          <w:szCs w:val="20"/>
          <w:lang w:val="es-ES"/>
          <w14:ligatures w14:val="none"/>
        </w:rPr>
        <w:t>. Lugar y plazo de entrega</w:t>
      </w:r>
    </w:p>
    <w:p w14:paraId="62C9A73B" w14:textId="77777777" w:rsidR="008C6C8A" w:rsidRPr="00BB1B37" w:rsidRDefault="008C6C8A" w:rsidP="008C6C8A">
      <w:pPr>
        <w:spacing w:line="240"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Almacén de Medicamentos del Hospital Regional Cusco, Avenida de la Cultura s/n (Referencia, frente a la Puerta de Medicina UNSAAC), en horario de atención de lunes a sábado de 7:</w:t>
      </w:r>
      <w:r>
        <w:rPr>
          <w:rFonts w:ascii="Times New Roman" w:eastAsia="Calibri" w:hAnsi="Times New Roman" w:cs="Times New Roman"/>
          <w:bCs/>
          <w:kern w:val="0"/>
          <w:sz w:val="20"/>
          <w:szCs w:val="20"/>
          <w:lang w:val="es-ES"/>
          <w14:ligatures w14:val="none"/>
        </w:rPr>
        <w:t>3</w:t>
      </w:r>
      <w:r w:rsidRPr="00BB1B37">
        <w:rPr>
          <w:rFonts w:ascii="Times New Roman" w:eastAsia="Calibri" w:hAnsi="Times New Roman" w:cs="Times New Roman"/>
          <w:bCs/>
          <w:kern w:val="0"/>
          <w:sz w:val="20"/>
          <w:szCs w:val="20"/>
          <w:lang w:val="es-ES"/>
          <w14:ligatures w14:val="none"/>
        </w:rPr>
        <w:t xml:space="preserve">0 a.m. a 12:00 m. </w:t>
      </w:r>
    </w:p>
    <w:p w14:paraId="6D2162CB" w14:textId="77777777" w:rsidR="008C6C8A" w:rsidRPr="00BB1B37" w:rsidRDefault="008C6C8A" w:rsidP="008C6C8A">
      <w:pPr>
        <w:spacing w:line="240"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5</w:t>
      </w:r>
      <w:r w:rsidRPr="00BB1B37">
        <w:rPr>
          <w:rFonts w:ascii="Times New Roman" w:eastAsia="Calibri" w:hAnsi="Times New Roman" w:cs="Times New Roman"/>
          <w:b/>
          <w:kern w:val="0"/>
          <w:sz w:val="20"/>
          <w:szCs w:val="20"/>
          <w:lang w:val="es-ES"/>
          <w14:ligatures w14:val="none"/>
        </w:rPr>
        <w:t>.1.  Plazo de entrega:</w:t>
      </w:r>
    </w:p>
    <w:p w14:paraId="34D7E6DB" w14:textId="77777777" w:rsidR="008C6C8A" w:rsidRDefault="008C6C8A" w:rsidP="008C6C8A">
      <w:pPr>
        <w:spacing w:line="240"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La entrega de los bienes, se realizará en un plazo de (05) días calendarios, computado a partir del día siguiente de la recepción de la Orden de Compra.</w:t>
      </w:r>
    </w:p>
    <w:p w14:paraId="59C0229E" w14:textId="77777777" w:rsidR="008C6C8A" w:rsidRDefault="008C6C8A" w:rsidP="008C6C8A">
      <w:pPr>
        <w:spacing w:line="240" w:lineRule="auto"/>
        <w:jc w:val="both"/>
        <w:rPr>
          <w:rFonts w:ascii="Times New Roman" w:eastAsia="Calibri" w:hAnsi="Times New Roman" w:cs="Times New Roman"/>
          <w:bCs/>
          <w:kern w:val="0"/>
          <w:sz w:val="20"/>
          <w:szCs w:val="20"/>
          <w:lang w:val="es-ES"/>
          <w14:ligatures w14:val="none"/>
        </w:rPr>
      </w:pPr>
    </w:p>
    <w:p w14:paraId="3AFCF70B" w14:textId="77777777" w:rsidR="008C6C8A" w:rsidRPr="00BB1B37" w:rsidRDefault="008C6C8A" w:rsidP="008C6C8A">
      <w:pPr>
        <w:spacing w:line="240" w:lineRule="auto"/>
        <w:jc w:val="both"/>
        <w:rPr>
          <w:rFonts w:ascii="Times New Roman" w:eastAsia="Calibri" w:hAnsi="Times New Roman" w:cs="Times New Roman"/>
          <w:bCs/>
          <w:kern w:val="0"/>
          <w:sz w:val="20"/>
          <w:szCs w:val="20"/>
          <w:lang w:val="es-ES"/>
          <w14:ligatures w14:val="none"/>
        </w:rPr>
      </w:pPr>
    </w:p>
    <w:p w14:paraId="159E2D33" w14:textId="77777777" w:rsidR="008C6C8A" w:rsidRPr="00BB1B37" w:rsidRDefault="008C6C8A" w:rsidP="008C6C8A">
      <w:pPr>
        <w:spacing w:line="276"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lastRenderedPageBreak/>
        <w:t>6</w:t>
      </w:r>
      <w:r w:rsidRPr="00BB1B37">
        <w:rPr>
          <w:rFonts w:ascii="Times New Roman" w:eastAsia="Calibri" w:hAnsi="Times New Roman" w:cs="Times New Roman"/>
          <w:b/>
          <w:kern w:val="0"/>
          <w:sz w:val="20"/>
          <w:szCs w:val="20"/>
          <w:lang w:val="es-ES"/>
          <w14:ligatures w14:val="none"/>
        </w:rPr>
        <w:t>. Consideraciones para la recepción de los Bienes</w:t>
      </w:r>
    </w:p>
    <w:p w14:paraId="7038CCF3" w14:textId="77777777" w:rsidR="008C6C8A" w:rsidRPr="00BB1B37" w:rsidRDefault="008C6C8A" w:rsidP="008C6C8A">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En el Acto de Recepción de los bienes que formaran parte de la entrega, el proveedor deberá entregar en el Almacen de Medicamentos del Hospital Regional Cusco, copia simple de los siguientes documentos, a fin de llevar a cabo la conformidad de recepción:</w:t>
      </w:r>
    </w:p>
    <w:p w14:paraId="4E1B74CC" w14:textId="77777777" w:rsidR="008C6C8A" w:rsidRPr="00BB1B37" w:rsidRDefault="008C6C8A" w:rsidP="008C6C8A">
      <w:pPr>
        <w:numPr>
          <w:ilvl w:val="0"/>
          <w:numId w:val="6"/>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Orden de Compra — Guía de Internamiento (copia).</w:t>
      </w:r>
    </w:p>
    <w:p w14:paraId="0E5C8CF4" w14:textId="77777777" w:rsidR="008C6C8A" w:rsidRPr="00BB1B37" w:rsidRDefault="008C6C8A" w:rsidP="008C6C8A">
      <w:pPr>
        <w:numPr>
          <w:ilvl w:val="0"/>
          <w:numId w:val="6"/>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 xml:space="preserve">Guía de Remisión (Destinatario + SUNAT + 02 Copias adicionales). Esta deberá consignar en forma obligatoria para cada ítem el número de lote y la cantidad entregada por lote. </w:t>
      </w:r>
    </w:p>
    <w:p w14:paraId="0F983420" w14:textId="77777777" w:rsidR="008C6C8A" w:rsidRPr="00BB1B37" w:rsidRDefault="008C6C8A" w:rsidP="008C6C8A">
      <w:pPr>
        <w:numPr>
          <w:ilvl w:val="0"/>
          <w:numId w:val="6"/>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Copia simple de la Resolución Directoral del Registro Sanitario o Certificado de Registro Sanitario vigente; de acuerdo a los requisitos documentarios mínimos del proveedor del bien.</w:t>
      </w:r>
    </w:p>
    <w:p w14:paraId="5D146E0A" w14:textId="77777777" w:rsidR="008C6C8A" w:rsidRPr="00BB1B37" w:rsidRDefault="008C6C8A" w:rsidP="008C6C8A">
      <w:pPr>
        <w:numPr>
          <w:ilvl w:val="0"/>
          <w:numId w:val="6"/>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 xml:space="preserve">Copia del Certificado de Análisis emitido por el fabricante o quien encarga su fabricación, según lo dispuesto en la norma correspondiente. </w:t>
      </w:r>
    </w:p>
    <w:p w14:paraId="73CE5B3C" w14:textId="77777777" w:rsidR="008C6C8A" w:rsidRPr="00BB1B37" w:rsidRDefault="008C6C8A" w:rsidP="008C6C8A">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El Almacen de Medicamentos del Hospital Regional Cusco no está obligado a recibir los bienes si no han sido presentados todos los documentos que corresponde a la entrega, o si se detecta que no corresponde el producto con lo solicitado (vigencia del producto, forma de presentación, logotipo, entre otros). </w:t>
      </w:r>
    </w:p>
    <w:p w14:paraId="4E8EF253" w14:textId="77777777" w:rsidR="008C6C8A" w:rsidRPr="00BB1B37" w:rsidRDefault="008C6C8A" w:rsidP="008C6C8A">
      <w:pPr>
        <w:spacing w:line="276"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7</w:t>
      </w:r>
      <w:r w:rsidRPr="00BB1B37">
        <w:rPr>
          <w:rFonts w:ascii="Times New Roman" w:eastAsia="Calibri" w:hAnsi="Times New Roman" w:cs="Times New Roman"/>
          <w:b/>
          <w:kern w:val="0"/>
          <w:sz w:val="20"/>
          <w:szCs w:val="20"/>
          <w:lang w:val="es-ES"/>
          <w14:ligatures w14:val="none"/>
        </w:rPr>
        <w:t>. Conformidad</w:t>
      </w:r>
    </w:p>
    <w:p w14:paraId="5CF338C9" w14:textId="77777777" w:rsidR="008C6C8A" w:rsidRPr="00BB1B37" w:rsidRDefault="008C6C8A" w:rsidP="008C6C8A">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La conformidad de la prestación se regula por lo dispuesto en el artículo 144 del RLGCP, de acuerdo a lo siguiente:</w:t>
      </w:r>
    </w:p>
    <w:p w14:paraId="79D660AA" w14:textId="77777777" w:rsidR="008C6C8A" w:rsidRPr="00BB1B37" w:rsidRDefault="008C6C8A" w:rsidP="008C6C8A">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La conformidad será otorgada a través del Informe emitido por el jefe del Almacen de Medicamentos del Hospital Regional Cusco en un plazo máximo de siete (7) días de producida la recepción.</w:t>
      </w:r>
    </w:p>
    <w:p w14:paraId="30475E4F" w14:textId="77777777" w:rsidR="008C6C8A" w:rsidRPr="00BB1B37" w:rsidRDefault="008C6C8A" w:rsidP="008C6C8A">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Para efectos de la emisión de la conformidad, el contratista debe presentar la siguiente documentación:</w:t>
      </w:r>
    </w:p>
    <w:p w14:paraId="3CF9BC9D" w14:textId="77777777" w:rsidR="008C6C8A" w:rsidRPr="00BB1B37" w:rsidRDefault="008C6C8A" w:rsidP="008C6C8A">
      <w:pPr>
        <w:numPr>
          <w:ilvl w:val="0"/>
          <w:numId w:val="7"/>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Guía de Remisión (Destinatario + SUNAT), debidamente suscrito detallando la fecha de recepción de los bienes.</w:t>
      </w:r>
    </w:p>
    <w:p w14:paraId="53C5AA8D" w14:textId="77777777" w:rsidR="008C6C8A" w:rsidRPr="00BB1B37" w:rsidRDefault="008C6C8A" w:rsidP="008C6C8A">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De existir observaciones, El Almacen de Medicamentos del Hospital Regional Cusco, las comunica al CONTRATISTA, indicando claramente el sentido de estas, otorgándole un plazo para subsanar el cual no debe ser mayor al 30% del plazo del entregable correspondiente, dependiendo de la complejidad o sofisticación de las subsanaciones a realizar. Si pese al plazo otorgado, EL CONTRATISTA no cumpliese a cabalidad con la subsanación, la Entidad puede otorgar al CONTRATISTA periodos adicionales para las correcciones pertinentes. En este supuesto corresponde aplicar la penalidad por mora desde el vencimiento del plazo para subsanar sin considerar los días en los que pudiera incurrir la DEC para efectuar las revisiones y notificar las observaciones correspondientes.</w:t>
      </w:r>
    </w:p>
    <w:p w14:paraId="612CC30E" w14:textId="77777777" w:rsidR="008C6C8A" w:rsidRPr="00BB1B37" w:rsidRDefault="008C6C8A" w:rsidP="008C6C8A">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Este procedimiento no resulta aplicable cuando los bienes manifiestamente no cumplan con las características y condiciones ofrecidas, en cuyo caso El Almacen de Medicamentos del Hospital Regional Cusco no efectúa la recepción o no otorga la conformidad, según corresponda, debiendo considerarse como no ejecutada la prestación, aplicándose la penalidad que corresponda por cada día de atraso.</w:t>
      </w:r>
    </w:p>
    <w:p w14:paraId="0D43D624" w14:textId="77777777" w:rsidR="008C6C8A" w:rsidRPr="00BB1B37" w:rsidRDefault="008C6C8A" w:rsidP="008C6C8A">
      <w:pPr>
        <w:spacing w:line="276"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8</w:t>
      </w:r>
      <w:r w:rsidRPr="00BB1B37">
        <w:rPr>
          <w:rFonts w:ascii="Times New Roman" w:eastAsia="Calibri" w:hAnsi="Times New Roman" w:cs="Times New Roman"/>
          <w:b/>
          <w:kern w:val="0"/>
          <w:sz w:val="20"/>
          <w:szCs w:val="20"/>
          <w:lang w:val="es-ES"/>
          <w14:ligatures w14:val="none"/>
        </w:rPr>
        <w:t>. Forma y Condiciones de Pago:</w:t>
      </w:r>
    </w:p>
    <w:p w14:paraId="7E7AE5B0" w14:textId="77777777" w:rsidR="008C6C8A" w:rsidRPr="00BB1B37" w:rsidRDefault="008C6C8A" w:rsidP="008C6C8A">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pago se realizará en una sola armada, de conformidad con lo establecido en el artículo 67 de la Ley.</w:t>
      </w:r>
    </w:p>
    <w:p w14:paraId="4BCA7D22" w14:textId="77777777" w:rsidR="008C6C8A" w:rsidRDefault="008C6C8A" w:rsidP="008C6C8A">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La Entidad paga las contraprestaciones pactadas a favor del contratista dentro de los diez (10) días hábiles siguientes de otorgada la conformidad por parte del área usuaria y es prorrogable, previa justificación de la demora, por cinco días hábiles. La Entidad realiza el pago de la contraprestación pactada a favor del contratista en SOLES, en un PAGO ÚNICO, luego de la recepción formal y completa de la documentación correspondiente, según lo establecido en el artículo 144 del Reglamento de la Ley N° 32069, Ley General de Contrataciones Públicas, aprobado por Decreto Supremo N O 009-2025-EF. </w:t>
      </w:r>
    </w:p>
    <w:p w14:paraId="322F6648" w14:textId="77777777" w:rsidR="008C6C8A" w:rsidRDefault="008C6C8A" w:rsidP="008C6C8A">
      <w:pPr>
        <w:spacing w:line="276" w:lineRule="auto"/>
        <w:jc w:val="both"/>
        <w:rPr>
          <w:rFonts w:ascii="Times New Roman" w:eastAsia="Calibri" w:hAnsi="Times New Roman" w:cs="Times New Roman"/>
          <w:bCs/>
          <w:kern w:val="0"/>
          <w:sz w:val="20"/>
          <w:szCs w:val="20"/>
          <w:lang w:val="es-ES"/>
          <w14:ligatures w14:val="none"/>
        </w:rPr>
      </w:pPr>
    </w:p>
    <w:p w14:paraId="5F73A555" w14:textId="77777777" w:rsidR="008C6C8A" w:rsidRPr="00BB1B37" w:rsidRDefault="008C6C8A" w:rsidP="008C6C8A">
      <w:pPr>
        <w:spacing w:line="276" w:lineRule="auto"/>
        <w:jc w:val="both"/>
        <w:rPr>
          <w:rFonts w:ascii="Times New Roman" w:eastAsia="Calibri" w:hAnsi="Times New Roman" w:cs="Times New Roman"/>
          <w:bCs/>
          <w:kern w:val="0"/>
          <w:sz w:val="20"/>
          <w:szCs w:val="20"/>
          <w:lang w:val="es-ES"/>
          <w14:ligatures w14:val="none"/>
        </w:rPr>
      </w:pPr>
    </w:p>
    <w:p w14:paraId="729A8B29" w14:textId="77777777" w:rsidR="008C6C8A" w:rsidRPr="00BB1B37" w:rsidRDefault="008C6C8A" w:rsidP="008C6C8A">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lastRenderedPageBreak/>
        <w:t>Penalidades</w:t>
      </w:r>
    </w:p>
    <w:p w14:paraId="2DD9A991" w14:textId="77777777" w:rsidR="008C6C8A" w:rsidRPr="00BB1B37" w:rsidRDefault="008C6C8A" w:rsidP="008C6C8A">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En caso de retraso injustificado del contratista en la ejecución de las prestaciones objeto del contrato, la DEC le aplica automáticamente una penalidad por mora por cada día de atraso que le sea imputable, La penalidad se aplica automáticamente y se calcula de acuerdo con la siguiente fórmula:</w:t>
      </w:r>
    </w:p>
    <w:p w14:paraId="124AFB51" w14:textId="77777777" w:rsidR="008C6C8A" w:rsidRPr="00BB1B37" w:rsidRDefault="008C6C8A" w:rsidP="008C6C8A">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noProof/>
          <w:kern w:val="0"/>
          <w:sz w:val="20"/>
          <w:szCs w:val="20"/>
          <w:lang w:val="es-ES"/>
          <w14:ligatures w14:val="none"/>
        </w:rPr>
        <mc:AlternateContent>
          <mc:Choice Requires="wps">
            <w:drawing>
              <wp:anchor distT="0" distB="0" distL="114300" distR="114300" simplePos="0" relativeHeight="251659264" behindDoc="0" locked="0" layoutInCell="1" allowOverlap="1" wp14:anchorId="6FC21A5C" wp14:editId="047A3B54">
                <wp:simplePos x="0" y="0"/>
                <wp:positionH relativeFrom="column">
                  <wp:posOffset>1529715</wp:posOffset>
                </wp:positionH>
                <wp:positionV relativeFrom="paragraph">
                  <wp:posOffset>195579</wp:posOffset>
                </wp:positionV>
                <wp:extent cx="819150" cy="0"/>
                <wp:effectExtent l="0" t="0" r="0" b="0"/>
                <wp:wrapNone/>
                <wp:docPr id="1950835075" name="Conector recto 736"/>
                <wp:cNvGraphicFramePr/>
                <a:graphic xmlns:a="http://schemas.openxmlformats.org/drawingml/2006/main">
                  <a:graphicData uri="http://schemas.microsoft.com/office/word/2010/wordprocessingShape">
                    <wps:wsp>
                      <wps:cNvCnPr/>
                      <wps:spPr>
                        <a:xfrm flipV="1">
                          <a:off x="0" y="0"/>
                          <a:ext cx="81915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9BE82CB" id="Conector recto 736"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0.45pt,15.4pt" to="184.95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" strokecolor="windowText" strokeweight=".5pt">
                <v:stroke joinstyle="miter"/>
              </v:line>
            </w:pict>
          </mc:Fallback>
        </mc:AlternateContent>
      </w:r>
      <w:r w:rsidRPr="00BB1B37">
        <w:rPr>
          <w:rFonts w:ascii="Times New Roman" w:eastAsia="Calibri" w:hAnsi="Times New Roman" w:cs="Times New Roman"/>
          <w:bCs/>
          <w:kern w:val="0"/>
          <w:sz w:val="20"/>
          <w:szCs w:val="20"/>
          <w:lang w:val="es-ES"/>
          <w14:ligatures w14:val="none"/>
        </w:rPr>
        <w:tab/>
        <w:t>Penalidad diaria    =    0.10 X monto</w:t>
      </w:r>
    </w:p>
    <w:p w14:paraId="61980B85" w14:textId="77777777" w:rsidR="008C6C8A" w:rsidRPr="00BB1B37" w:rsidRDefault="008C6C8A" w:rsidP="008C6C8A">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                                                FX plazo en días</w:t>
      </w:r>
    </w:p>
    <w:p w14:paraId="20FED6E5" w14:textId="77777777" w:rsidR="008C6C8A" w:rsidRPr="00BB1B37" w:rsidRDefault="008C6C8A" w:rsidP="008C6C8A">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Donde F tiene los siguientes valores: F 0.40</w:t>
      </w:r>
    </w:p>
    <w:p w14:paraId="6B86C00B" w14:textId="77777777" w:rsidR="008C6C8A" w:rsidRPr="00BB1B37" w:rsidRDefault="008C6C8A" w:rsidP="008C6C8A">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Tanto el monto como el plazo se refieren, según corresponda, al monto vigente del contrato, componente o ítem que debió ejecutarse o, en caso de que estos involucren entregables cuantificables en monto y plazo, al monto y plazo del entregable que fuera materia de </w:t>
      </w:r>
      <w:proofErr w:type="spellStart"/>
      <w:proofErr w:type="gramStart"/>
      <w:r w:rsidRPr="00BB1B37">
        <w:rPr>
          <w:rFonts w:ascii="Times New Roman" w:eastAsia="Calibri" w:hAnsi="Times New Roman" w:cs="Times New Roman"/>
          <w:bCs/>
          <w:kern w:val="0"/>
          <w:sz w:val="20"/>
          <w:szCs w:val="20"/>
          <w:lang w:val="es-ES"/>
          <w14:ligatures w14:val="none"/>
        </w:rPr>
        <w:t>retraso.El</w:t>
      </w:r>
      <w:proofErr w:type="spellEnd"/>
      <w:proofErr w:type="gramEnd"/>
      <w:r w:rsidRPr="00BB1B37">
        <w:rPr>
          <w:rFonts w:ascii="Times New Roman" w:eastAsia="Calibri" w:hAnsi="Times New Roman" w:cs="Times New Roman"/>
          <w:bCs/>
          <w:kern w:val="0"/>
          <w:sz w:val="20"/>
          <w:szCs w:val="20"/>
          <w:lang w:val="es-ES"/>
          <w14:ligatures w14:val="none"/>
        </w:rPr>
        <w:t xml:space="preserve"> retraso se justifica a través de la solicitud de ampliación de plazo debidamente aprobado. Adicionalmente, se considera justificado el retraso y en consecuencia no se aplica penalidad, cuando EL CONTRATISTA acredite, de modo objetivamente sustentado, que el mayor tiempo transcurrido no le resulta imputable. En este último caso la calificación del retraso como justificado por parte de la Jefatura de Farmacia no da lugar al pago de gastos generales ni costos directos de ningún tipo, conforme al numeral 120,4 del artículo 120 del Reglamento de la Ley N O 32069, Ley General de Contrataciones Públicas, aprobado por Decreto Supremo N O 009-2025-EF. Las penalidades se deducen de los pagos a cuenta, pagos parciales o del pago final, según corresponda.</w:t>
      </w:r>
    </w:p>
    <w:p w14:paraId="2B825052" w14:textId="77777777" w:rsidR="008C6C8A" w:rsidRPr="00BB1B37" w:rsidRDefault="008C6C8A" w:rsidP="008C6C8A">
      <w:pPr>
        <w:spacing w:line="276"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9</w:t>
      </w:r>
      <w:r w:rsidRPr="00BB1B37">
        <w:rPr>
          <w:rFonts w:ascii="Times New Roman" w:eastAsia="Calibri" w:hAnsi="Times New Roman" w:cs="Times New Roman"/>
          <w:b/>
          <w:kern w:val="0"/>
          <w:sz w:val="20"/>
          <w:szCs w:val="20"/>
          <w:lang w:val="es-ES"/>
          <w14:ligatures w14:val="none"/>
        </w:rPr>
        <w:t>. Responsabilidad por Vicios Ocultos</w:t>
      </w:r>
      <w:r w:rsidRPr="00BB1B37">
        <w:rPr>
          <w:rFonts w:ascii="Times New Roman" w:eastAsia="Calibri" w:hAnsi="Times New Roman" w:cs="Times New Roman"/>
          <w:b/>
          <w:kern w:val="0"/>
          <w:sz w:val="20"/>
          <w:szCs w:val="20"/>
          <w:lang w:val="es-ES"/>
          <w14:ligatures w14:val="none"/>
        </w:rPr>
        <w:tab/>
      </w:r>
    </w:p>
    <w:p w14:paraId="41502A0A" w14:textId="77777777" w:rsidR="008C6C8A" w:rsidRPr="00BB1B37" w:rsidRDefault="008C6C8A" w:rsidP="008C6C8A">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La conformidad de recepción de la prestación por parte de LA ENTIDAD no enerva su derecho a reclamar posteriormente por defectos o vicios u otras situaciones anómalas no detectables o no verificables durante la recepción de los productos farmacéuticos, por causas atribuibles al Contratista, debiendo proceder a la reposición o canje total del lote de los bienes que se hayan detectado en las situaciones descritas. El plazo máximo de responsabilidad del contratista es de dos (2) años, contados a partir de la conformidad otorgada por LA ENTIDAD El proveedor deberá presentar Declaración Jurada de Compromiso de Canje y/o reposición por vicios ocultos, los productos a ingresar en el canje tendrán una vigencia igual o mayor a lo ofertado en el proceso de selección</w:t>
      </w:r>
    </w:p>
    <w:p w14:paraId="3B6989B7" w14:textId="77777777" w:rsidR="008C6C8A" w:rsidRPr="00BB1B37" w:rsidRDefault="008C6C8A" w:rsidP="008C6C8A">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Pr>
          <w:rFonts w:ascii="Times New Roman" w:eastAsia="Calibri" w:hAnsi="Times New Roman" w:cs="Times New Roman"/>
          <w:b/>
          <w:kern w:val="0"/>
          <w:sz w:val="20"/>
          <w:szCs w:val="20"/>
          <w:lang w:val="es-ES"/>
          <w14:ligatures w14:val="none"/>
        </w:rPr>
        <w:t>0</w:t>
      </w:r>
      <w:r w:rsidRPr="00BB1B37">
        <w:rPr>
          <w:rFonts w:ascii="Times New Roman" w:eastAsia="Calibri" w:hAnsi="Times New Roman" w:cs="Times New Roman"/>
          <w:b/>
          <w:kern w:val="0"/>
          <w:sz w:val="20"/>
          <w:szCs w:val="20"/>
          <w:lang w:val="es-ES"/>
          <w14:ligatures w14:val="none"/>
        </w:rPr>
        <w:t>. Otras Penalidades</w:t>
      </w:r>
    </w:p>
    <w:p w14:paraId="5AD50147" w14:textId="77777777" w:rsidR="008C6C8A" w:rsidRDefault="008C6C8A" w:rsidP="008C6C8A">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No aplica</w:t>
      </w:r>
    </w:p>
    <w:p w14:paraId="389EEBCB" w14:textId="77777777" w:rsidR="008C6C8A" w:rsidRPr="00BB1B37" w:rsidRDefault="008C6C8A" w:rsidP="008C6C8A">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Pr>
          <w:rFonts w:ascii="Times New Roman" w:eastAsia="Calibri" w:hAnsi="Times New Roman" w:cs="Times New Roman"/>
          <w:b/>
          <w:kern w:val="0"/>
          <w:sz w:val="20"/>
          <w:szCs w:val="20"/>
          <w:lang w:val="es-ES"/>
          <w14:ligatures w14:val="none"/>
        </w:rPr>
        <w:t>1</w:t>
      </w:r>
      <w:r w:rsidRPr="00BB1B37">
        <w:rPr>
          <w:rFonts w:ascii="Times New Roman" w:eastAsia="Calibri" w:hAnsi="Times New Roman" w:cs="Times New Roman"/>
          <w:b/>
          <w:kern w:val="0"/>
          <w:sz w:val="20"/>
          <w:szCs w:val="20"/>
          <w:lang w:val="es-ES"/>
          <w14:ligatures w14:val="none"/>
        </w:rPr>
        <w:t>. Gestión de Riesgos</w:t>
      </w:r>
    </w:p>
    <w:p w14:paraId="43C88CE8" w14:textId="77777777" w:rsidR="008C6C8A" w:rsidRPr="00BB1B37" w:rsidRDefault="008C6C8A" w:rsidP="008C6C8A">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Las partes realizan la gestión de riesgos de acuerdo con lo establecido en el presente documento, a fin de tomar decisiones informadas, aprovechando el impacto de riesgos positivos y disminuyendo la probabilidad de los riesgos negativos y su impacto durante la ejecución contractual, considerando la finalidad pública de la contratación. </w:t>
      </w:r>
    </w:p>
    <w:p w14:paraId="7FD28907" w14:textId="77777777" w:rsidR="008C6C8A" w:rsidRPr="00BB1B37" w:rsidRDefault="008C6C8A" w:rsidP="008C6C8A">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Pr>
          <w:rFonts w:ascii="Times New Roman" w:eastAsia="Calibri" w:hAnsi="Times New Roman" w:cs="Times New Roman"/>
          <w:b/>
          <w:kern w:val="0"/>
          <w:sz w:val="20"/>
          <w:szCs w:val="20"/>
          <w:lang w:val="es-ES"/>
          <w14:ligatures w14:val="none"/>
        </w:rPr>
        <w:t>2</w:t>
      </w:r>
      <w:r w:rsidRPr="00BB1B37">
        <w:rPr>
          <w:rFonts w:ascii="Times New Roman" w:eastAsia="Calibri" w:hAnsi="Times New Roman" w:cs="Times New Roman"/>
          <w:b/>
          <w:kern w:val="0"/>
          <w:sz w:val="20"/>
          <w:szCs w:val="20"/>
          <w:lang w:val="es-ES"/>
          <w14:ligatures w14:val="none"/>
        </w:rPr>
        <w:t>. Anticorrupción y Antisoborno</w:t>
      </w:r>
    </w:p>
    <w:p w14:paraId="4ADFCF33" w14:textId="77777777" w:rsidR="008C6C8A" w:rsidRPr="00BB1B37" w:rsidRDefault="008C6C8A" w:rsidP="008C6C8A">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A la suscripción de este contrato, EL CONTRATISTA declara y garantiza no haber ofrecido, negociado, prometido o efectuado ningún pago o entrega de cualquier beneficio o incentivo ilegal, de manera directa o indirecta, a los evaluadores del proceso de contratación o cualquier servidor de la Entidad. 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 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dependencia encargada de la contratación, actores del proceso de contratación y/o cualquier servidor de la Entidad, con la finalidad de </w:t>
      </w:r>
      <w:r w:rsidRPr="00BB1B37">
        <w:rPr>
          <w:rFonts w:ascii="Times New Roman" w:eastAsia="Calibri" w:hAnsi="Times New Roman" w:cs="Times New Roman"/>
          <w:bCs/>
          <w:kern w:val="0"/>
          <w:sz w:val="20"/>
          <w:szCs w:val="20"/>
          <w:lang w:val="es-ES"/>
          <w14:ligatures w14:val="none"/>
        </w:rPr>
        <w:lastRenderedPageBreak/>
        <w:t xml:space="preserve">obtener alguna ventaja indebida o beneficio ilícito, En esa línea, se obliga a adoptar las medidas técnicas, organizativas y/o de personal necesarias para asegurar que no se practiquen los actos previamente señalados. Adicionalmente, EL CONTRATISTA se compromete a denunciar oportunamente ante las autoridades competentes los actos de corrupción o de inconducta funcional de los cuales tuviera conocimiento durante la ejecución del contrato con la Entidad. Tratándose de una persona jurídica, lo anterior se extiende a sus accionistas, participacioncitas,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Finalmente, el incumplimiento de las obligaciones establecidas en esta cláusula, durante la ejecución contractual, otorga a la Entidad el derecho de resolver total o parcialmente el contrato. Cuando lo anterior se produzca por parte de un proveedor adjudicatario de los catálogos electrónicos de acuerdo marco, el incumplimiento de la presente cláusula conllevará que sea excluido de los Catálogos Electrónicos de Acuerdo Marco. En ningún caso, dichas medidas impiden el inicio de las acciones civiles, penales y administrativas a que hubiera lugar. </w:t>
      </w:r>
    </w:p>
    <w:p w14:paraId="071CA289" w14:textId="77777777" w:rsidR="008C6C8A" w:rsidRPr="00BB1B37" w:rsidRDefault="008C6C8A" w:rsidP="008C6C8A">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Pr>
          <w:rFonts w:ascii="Times New Roman" w:eastAsia="Calibri" w:hAnsi="Times New Roman" w:cs="Times New Roman"/>
          <w:b/>
          <w:kern w:val="0"/>
          <w:sz w:val="20"/>
          <w:szCs w:val="20"/>
          <w:lang w:val="es-ES"/>
          <w14:ligatures w14:val="none"/>
        </w:rPr>
        <w:t>3</w:t>
      </w:r>
      <w:r w:rsidRPr="00BB1B37">
        <w:rPr>
          <w:rFonts w:ascii="Times New Roman" w:eastAsia="Calibri" w:hAnsi="Times New Roman" w:cs="Times New Roman"/>
          <w:b/>
          <w:kern w:val="0"/>
          <w:sz w:val="20"/>
          <w:szCs w:val="20"/>
          <w:lang w:val="es-ES"/>
          <w14:ligatures w14:val="none"/>
        </w:rPr>
        <w:t xml:space="preserve">. Solución de Controversias Contractuales: </w:t>
      </w:r>
      <w:r w:rsidRPr="00BB1B37">
        <w:rPr>
          <w:rFonts w:ascii="Times New Roman" w:eastAsia="Calibri" w:hAnsi="Times New Roman" w:cs="Times New Roman"/>
          <w:bCs/>
          <w:kern w:val="0"/>
          <w:sz w:val="20"/>
          <w:szCs w:val="20"/>
          <w:lang w:val="es-ES"/>
          <w14:ligatures w14:val="none"/>
        </w:rPr>
        <w:t xml:space="preserve">Las controversias que surjan entre las partes durante la ejecución del contrato se resuelven mediante conciliación, cuando se haya pactado el arbitraje </w:t>
      </w:r>
    </w:p>
    <w:p w14:paraId="70940E6D" w14:textId="77777777" w:rsidR="008C6C8A" w:rsidRPr="00BB1B37" w:rsidRDefault="008C6C8A" w:rsidP="008C6C8A">
      <w:pPr>
        <w:spacing w:line="276" w:lineRule="auto"/>
        <w:jc w:val="both"/>
        <w:rPr>
          <w:rFonts w:ascii="Times New Roman" w:eastAsia="Calibri" w:hAnsi="Times New Roman" w:cs="Times New Roman"/>
          <w:bCs/>
          <w:kern w:val="0"/>
          <w:sz w:val="20"/>
          <w:szCs w:val="20"/>
          <w:lang w:val="es-ES"/>
          <w14:ligatures w14:val="none"/>
        </w:rPr>
      </w:pPr>
    </w:p>
    <w:p w14:paraId="7AFA4F53" w14:textId="77777777" w:rsidR="008C6C8A" w:rsidRPr="00BB1B37" w:rsidRDefault="008C6C8A" w:rsidP="008C6C8A">
      <w:pPr>
        <w:rPr>
          <w:lang w:val="es-ES"/>
        </w:rPr>
      </w:pPr>
    </w:p>
    <w:p w14:paraId="6F8CDC00" w14:textId="77777777" w:rsidR="002957A6" w:rsidRPr="00BB1B37" w:rsidRDefault="002957A6" w:rsidP="008C6C8A">
      <w:pPr>
        <w:spacing w:line="276" w:lineRule="auto"/>
        <w:jc w:val="both"/>
        <w:rPr>
          <w:lang w:val="es-ES"/>
        </w:rPr>
      </w:pPr>
    </w:p>
    <w:sectPr w:rsidR="002957A6" w:rsidRPr="00BB1B37">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6545DF" w14:textId="77777777" w:rsidR="001F7158" w:rsidRDefault="001F7158" w:rsidP="00BB1B37">
      <w:pPr>
        <w:spacing w:after="0" w:line="240" w:lineRule="auto"/>
      </w:pPr>
      <w:r>
        <w:separator/>
      </w:r>
    </w:p>
  </w:endnote>
  <w:endnote w:type="continuationSeparator" w:id="0">
    <w:p w14:paraId="27AC3866" w14:textId="77777777" w:rsidR="001F7158" w:rsidRDefault="001F7158" w:rsidP="00BB1B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361EEA" w14:textId="71F90EC8" w:rsidR="00BB1B37" w:rsidRPr="00BB1B37" w:rsidRDefault="00BB1B37" w:rsidP="00BB1B37">
    <w:pPr>
      <w:tabs>
        <w:tab w:val="center" w:pos="4419"/>
        <w:tab w:val="right" w:pos="8838"/>
      </w:tabs>
      <w:spacing w:after="0" w:line="240" w:lineRule="auto"/>
      <w:rPr>
        <w:rFonts w:ascii="Calibri" w:eastAsia="Calibri" w:hAnsi="Calibri" w:cs="Times New Roman"/>
        <w:kern w:val="0"/>
        <w:sz w:val="22"/>
        <w:szCs w:val="22"/>
        <w:lang w:val="en-US"/>
        <w14:ligatures w14:val="none"/>
      </w:rPr>
    </w:pPr>
    <w:r w:rsidRPr="00BB1B37">
      <w:rPr>
        <w:rFonts w:ascii="Calibri" w:eastAsia="Calibri" w:hAnsi="Calibri" w:cs="Times New Roman"/>
        <w:kern w:val="0"/>
        <w:sz w:val="22"/>
        <w:szCs w:val="22"/>
        <w:lang w:val="en-US"/>
        <w14:ligatures w14:val="none"/>
      </w:rPr>
      <w:t>EPG</w:t>
    </w:r>
    <w:r>
      <w:rPr>
        <w:rFonts w:ascii="Calibri" w:eastAsia="Calibri" w:hAnsi="Calibri" w:cs="Times New Roman"/>
        <w:kern w:val="0"/>
        <w:sz w:val="22"/>
        <w:szCs w:val="22"/>
        <w:lang w:val="en-US"/>
        <w14:ligatures w14:val="none"/>
      </w:rPr>
      <w:t>-esq</w:t>
    </w:r>
  </w:p>
  <w:p w14:paraId="3E4CCC80" w14:textId="77777777" w:rsidR="00BB1B37" w:rsidRPr="00BB1B37" w:rsidRDefault="00BB1B37" w:rsidP="00BB1B37">
    <w:pPr>
      <w:tabs>
        <w:tab w:val="center" w:pos="4419"/>
        <w:tab w:val="right" w:pos="8838"/>
      </w:tabs>
      <w:spacing w:after="0" w:line="240" w:lineRule="auto"/>
      <w:rPr>
        <w:rFonts w:ascii="Calibri" w:eastAsia="Calibri" w:hAnsi="Calibri" w:cs="Times New Roman"/>
        <w:kern w:val="0"/>
        <w:sz w:val="22"/>
        <w:szCs w:val="22"/>
        <w:lang w:val="en-US"/>
        <w14:ligatures w14:val="none"/>
      </w:rPr>
    </w:pPr>
    <w:r w:rsidRPr="00BB1B37">
      <w:rPr>
        <w:rFonts w:ascii="Calibri" w:eastAsia="Calibri" w:hAnsi="Calibri" w:cs="Times New Roman"/>
        <w:kern w:val="0"/>
        <w:sz w:val="22"/>
        <w:szCs w:val="22"/>
        <w:lang w:val="en-US"/>
        <w14:ligatures w14:val="none"/>
      </w:rPr>
      <w:t>SF/HRC</w:t>
    </w:r>
  </w:p>
  <w:p w14:paraId="1581FB47" w14:textId="77777777" w:rsidR="00BB1B37" w:rsidRDefault="00BB1B3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736542" w14:textId="77777777" w:rsidR="001F7158" w:rsidRDefault="001F7158" w:rsidP="00BB1B37">
      <w:pPr>
        <w:spacing w:after="0" w:line="240" w:lineRule="auto"/>
      </w:pPr>
      <w:r>
        <w:separator/>
      </w:r>
    </w:p>
  </w:footnote>
  <w:footnote w:type="continuationSeparator" w:id="0">
    <w:p w14:paraId="67E85BCF" w14:textId="77777777" w:rsidR="001F7158" w:rsidRDefault="001F7158" w:rsidP="00BB1B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4DB9C5" w14:textId="77777777" w:rsidR="00BB1B37" w:rsidRDefault="00BB1B37" w:rsidP="00BB1B37">
    <w:pPr>
      <w:pStyle w:val="Encabezado"/>
      <w:jc w:val="center"/>
      <w:rPr>
        <w:rFonts w:ascii="Arial" w:hAnsi="Arial"/>
        <w:b/>
        <w:sz w:val="28"/>
        <w:lang w:val="es-MX"/>
      </w:rPr>
    </w:pPr>
    <w:r>
      <w:rPr>
        <w:rFonts w:ascii="Arial" w:hAnsi="Arial"/>
        <w:b/>
        <w:noProof/>
        <w:sz w:val="28"/>
      </w:rPr>
      <mc:AlternateContent>
        <mc:Choice Requires="wps">
          <w:drawing>
            <wp:anchor distT="0" distB="0" distL="114300" distR="114300" simplePos="0" relativeHeight="251663360" behindDoc="0" locked="0" layoutInCell="1" allowOverlap="1" wp14:anchorId="719732E9" wp14:editId="50890D6E">
              <wp:simplePos x="0" y="0"/>
              <wp:positionH relativeFrom="column">
                <wp:posOffset>3272790</wp:posOffset>
              </wp:positionH>
              <wp:positionV relativeFrom="paragraph">
                <wp:posOffset>-307340</wp:posOffset>
              </wp:positionV>
              <wp:extent cx="1847850" cy="600075"/>
              <wp:effectExtent l="0" t="0" r="0" b="0"/>
              <wp:wrapNone/>
              <wp:docPr id="158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7850" cy="600075"/>
                      </a:xfrm>
                      <a:prstGeom prst="rect">
                        <a:avLst/>
                      </a:prstGeom>
                      <a:noFill/>
                      <a:ln w="9525">
                        <a:noFill/>
                        <a:miter lim="800000"/>
                      </a:ln>
                    </wps:spPr>
                    <wps:txbx>
                      <w:txbxContent>
                        <w:p w14:paraId="234323A8" w14:textId="77777777" w:rsidR="00BB1B37" w:rsidRPr="003811A8" w:rsidRDefault="00BB1B37" w:rsidP="00BB1B37">
                          <w:pPr>
                            <w:jc w:val="center"/>
                            <w:rPr>
                              <w:rFonts w:ascii="Times New Roman" w:hAnsi="Times New Roman" w:cs="Times New Roman"/>
                              <w:b/>
                              <w:color w:val="808080"/>
                              <w:sz w:val="20"/>
                              <w:szCs w:val="20"/>
                              <w:lang w:val="es-ES"/>
                            </w:rPr>
                          </w:pPr>
                          <w:r w:rsidRPr="003811A8">
                            <w:rPr>
                              <w:rFonts w:ascii="Times New Roman" w:hAnsi="Times New Roman" w:cs="Times New Roman"/>
                              <w:b/>
                              <w:color w:val="808080"/>
                              <w:sz w:val="20"/>
                              <w:szCs w:val="20"/>
                              <w:lang w:val="es-ES"/>
                            </w:rPr>
                            <w:t>Servicio de Farmacia</w:t>
                          </w:r>
                        </w:p>
                        <w:p w14:paraId="61BBBC12" w14:textId="77777777" w:rsidR="00BB1B37" w:rsidRPr="003811A8" w:rsidRDefault="00BB1B37" w:rsidP="00BB1B37">
                          <w:pPr>
                            <w:jc w:val="center"/>
                            <w:rPr>
                              <w:rFonts w:ascii="Times New Roman" w:hAnsi="Times New Roman" w:cs="Times New Roman"/>
                              <w:b/>
                              <w:color w:val="808080"/>
                              <w:sz w:val="16"/>
                              <w:szCs w:val="20"/>
                              <w:lang w:val="es-ES"/>
                            </w:rPr>
                          </w:pPr>
                          <w:r w:rsidRPr="003811A8">
                            <w:rPr>
                              <w:rFonts w:ascii="Times New Roman" w:hAnsi="Times New Roman" w:cs="Times New Roman"/>
                              <w:b/>
                              <w:color w:val="808080"/>
                              <w:sz w:val="16"/>
                              <w:szCs w:val="20"/>
                              <w:lang w:val="es-ES"/>
                            </w:rPr>
                            <w:t xml:space="preserve">Área de </w:t>
                          </w:r>
                          <w:r>
                            <w:rPr>
                              <w:rFonts w:ascii="Times New Roman" w:hAnsi="Times New Roman" w:cs="Times New Roman"/>
                              <w:b/>
                              <w:color w:val="808080"/>
                              <w:sz w:val="16"/>
                              <w:szCs w:val="20"/>
                              <w:lang w:val="es-ES"/>
                            </w:rPr>
                            <w:t>Gestión de Programación de PF y DM</w:t>
                          </w:r>
                        </w:p>
                      </w:txbxContent>
                    </wps:txbx>
                    <wps:bodyPr rot="0" vert="horz" wrap="square" lIns="91440" tIns="45720" rIns="91440" bIns="45720" anchor="t" anchorCtr="0">
                      <a:noAutofit/>
                    </wps:bodyPr>
                  </wps:wsp>
                </a:graphicData>
              </a:graphic>
              <wp14:sizeRelH relativeFrom="page">
                <wp14:pctWidth>0</wp14:pctWidth>
              </wp14:sizeRelH>
              <wp14:sizeRelV relativeFrom="margin">
                <wp14:pctHeight>0</wp14:pctHeight>
              </wp14:sizeRelV>
            </wp:anchor>
          </w:drawing>
        </mc:Choice>
        <mc:Fallback>
          <w:pict>
            <v:shapetype w14:anchorId="719732E9" id="_x0000_t202" coordsize="21600,21600" o:spt="202" path="m,l,21600r21600,l21600,xe">
              <v:stroke joinstyle="miter"/>
              <v:path gradientshapeok="t" o:connecttype="rect"/>
            </v:shapetype>
            <v:shape id="Cuadro de texto 2" o:spid="_x0000_s1026" type="#_x0000_t202" style="position:absolute;left:0;text-align:left;margin-left:257.7pt;margin-top:-24.2pt;width:145.5pt;height:47.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" filled="f" stroked="f">
              <v:textbox>
                <w:txbxContent>
                  <w:p w14:paraId="234323A8" w14:textId="77777777" w:rsidR="00BB1B37" w:rsidRPr="003811A8" w:rsidRDefault="00BB1B37" w:rsidP="00BB1B37">
                    <w:pPr>
                      <w:jc w:val="center"/>
                      <w:rPr>
                        <w:rFonts w:ascii="Times New Roman" w:hAnsi="Times New Roman" w:cs="Times New Roman"/>
                        <w:b/>
                        <w:color w:val="808080"/>
                        <w:sz w:val="20"/>
                        <w:szCs w:val="20"/>
                        <w:lang w:val="es-ES"/>
                      </w:rPr>
                    </w:pPr>
                    <w:r w:rsidRPr="003811A8">
                      <w:rPr>
                        <w:rFonts w:ascii="Times New Roman" w:hAnsi="Times New Roman" w:cs="Times New Roman"/>
                        <w:b/>
                        <w:color w:val="808080"/>
                        <w:sz w:val="20"/>
                        <w:szCs w:val="20"/>
                        <w:lang w:val="es-ES"/>
                      </w:rPr>
                      <w:t>Servicio de Farmacia</w:t>
                    </w:r>
                  </w:p>
                  <w:p w14:paraId="61BBBC12" w14:textId="77777777" w:rsidR="00BB1B37" w:rsidRPr="003811A8" w:rsidRDefault="00BB1B37" w:rsidP="00BB1B37">
                    <w:pPr>
                      <w:jc w:val="center"/>
                      <w:rPr>
                        <w:rFonts w:ascii="Times New Roman" w:hAnsi="Times New Roman" w:cs="Times New Roman"/>
                        <w:b/>
                        <w:color w:val="808080"/>
                        <w:sz w:val="16"/>
                        <w:szCs w:val="20"/>
                        <w:lang w:val="es-ES"/>
                      </w:rPr>
                    </w:pPr>
                    <w:r w:rsidRPr="003811A8">
                      <w:rPr>
                        <w:rFonts w:ascii="Times New Roman" w:hAnsi="Times New Roman" w:cs="Times New Roman"/>
                        <w:b/>
                        <w:color w:val="808080"/>
                        <w:sz w:val="16"/>
                        <w:szCs w:val="20"/>
                        <w:lang w:val="es-ES"/>
                      </w:rPr>
                      <w:t xml:space="preserve">Área de </w:t>
                    </w:r>
                    <w:r>
                      <w:rPr>
                        <w:rFonts w:ascii="Times New Roman" w:hAnsi="Times New Roman" w:cs="Times New Roman"/>
                        <w:b/>
                        <w:color w:val="808080"/>
                        <w:sz w:val="16"/>
                        <w:szCs w:val="20"/>
                        <w:lang w:val="es-ES"/>
                      </w:rPr>
                      <w:t>Gestión de Programación de PF y DM</w:t>
                    </w:r>
                  </w:p>
                </w:txbxContent>
              </v:textbox>
            </v:shape>
          </w:pict>
        </mc:Fallback>
      </mc:AlternateContent>
    </w:r>
    <w:r>
      <w:rPr>
        <w:rFonts w:ascii="Arial" w:hAnsi="Arial"/>
        <w:b/>
        <w:noProof/>
        <w:sz w:val="28"/>
      </w:rPr>
      <mc:AlternateContent>
        <mc:Choice Requires="wps">
          <w:drawing>
            <wp:anchor distT="0" distB="0" distL="114300" distR="114300" simplePos="0" relativeHeight="251662336" behindDoc="0" locked="0" layoutInCell="1" allowOverlap="1" wp14:anchorId="34D5074F" wp14:editId="6B862D13">
              <wp:simplePos x="0" y="0"/>
              <wp:positionH relativeFrom="column">
                <wp:posOffset>1510030</wp:posOffset>
              </wp:positionH>
              <wp:positionV relativeFrom="paragraph">
                <wp:posOffset>-219075</wp:posOffset>
              </wp:positionV>
              <wp:extent cx="1655445" cy="349885"/>
              <wp:effectExtent l="0" t="0" r="0" b="0"/>
              <wp:wrapNone/>
              <wp:docPr id="252"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5445" cy="349885"/>
                      </a:xfrm>
                      <a:prstGeom prst="rect">
                        <a:avLst/>
                      </a:prstGeom>
                      <a:noFill/>
                      <a:ln>
                        <a:noFill/>
                      </a:ln>
                    </wps:spPr>
                    <wps:txbx>
                      <w:txbxContent>
                        <w:p w14:paraId="5B315696" w14:textId="77777777" w:rsidR="00BB1B37" w:rsidRPr="006063D2" w:rsidRDefault="00BB1B37" w:rsidP="00BB1B37">
                          <w:pPr>
                            <w:rPr>
                              <w:rFonts w:ascii="Arial" w:hAnsi="Arial" w:cs="Arial"/>
                              <w:b/>
                              <w:color w:val="FFFFFF"/>
                              <w:sz w:val="18"/>
                            </w:rPr>
                          </w:pPr>
                          <w:r w:rsidRPr="006063D2">
                            <w:rPr>
                              <w:rFonts w:ascii="Arial" w:hAnsi="Arial" w:cs="Arial"/>
                              <w:b/>
                              <w:color w:val="FFFFFF"/>
                              <w:sz w:val="18"/>
                            </w:rPr>
                            <w:t>HOSPITAL REGIONAL DEL CUSCO</w:t>
                          </w:r>
                        </w:p>
                      </w:txbxContent>
                    </wps:txbx>
                    <wps:bodyPr rot="0" vert="horz" wrap="square" lIns="91440" tIns="45720" rIns="91440" bIns="45720" anchor="t" anchorCtr="0" upright="1">
                      <a:noAutofit/>
                    </wps:bodyPr>
                  </wps:wsp>
                </a:graphicData>
              </a:graphic>
            </wp:anchor>
          </w:drawing>
        </mc:Choice>
        <mc:Fallback>
          <w:pict>
            <v:shape w14:anchorId="34D5074F" id="Text Box 16" o:spid="_x0000_s1027" type="#_x0000_t202" style="position:absolute;left:0;text-align:left;margin-left:118.9pt;margin-top:-17.25pt;width:130.35pt;height:27.5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" filled="f" stroked="f">
              <v:textbox>
                <w:txbxContent>
                  <w:p w14:paraId="5B315696" w14:textId="77777777" w:rsidR="00BB1B37" w:rsidRPr="006063D2" w:rsidRDefault="00BB1B37" w:rsidP="00BB1B37">
                    <w:pPr>
                      <w:rPr>
                        <w:rFonts w:ascii="Arial" w:hAnsi="Arial" w:cs="Arial"/>
                        <w:b/>
                        <w:color w:val="FFFFFF"/>
                        <w:sz w:val="18"/>
                      </w:rPr>
                    </w:pPr>
                    <w:r w:rsidRPr="006063D2">
                      <w:rPr>
                        <w:rFonts w:ascii="Arial" w:hAnsi="Arial" w:cs="Arial"/>
                        <w:b/>
                        <w:color w:val="FFFFFF"/>
                        <w:sz w:val="18"/>
                      </w:rPr>
                      <w:t>HOSPITAL REGIONAL DEL CUSCO</w:t>
                    </w:r>
                  </w:p>
                </w:txbxContent>
              </v:textbox>
            </v:shape>
          </w:pict>
        </mc:Fallback>
      </mc:AlternateContent>
    </w:r>
    <w:r>
      <w:rPr>
        <w:rFonts w:ascii="Arial" w:hAnsi="Arial"/>
        <w:b/>
        <w:noProof/>
        <w:sz w:val="28"/>
      </w:rPr>
      <w:drawing>
        <wp:anchor distT="0" distB="0" distL="114300" distR="114300" simplePos="0" relativeHeight="251660288" behindDoc="1" locked="0" layoutInCell="1" allowOverlap="1" wp14:anchorId="157C27C4" wp14:editId="570E5967">
          <wp:simplePos x="0" y="0"/>
          <wp:positionH relativeFrom="column">
            <wp:posOffset>-251460</wp:posOffset>
          </wp:positionH>
          <wp:positionV relativeFrom="paragraph">
            <wp:posOffset>-228600</wp:posOffset>
          </wp:positionV>
          <wp:extent cx="3486150" cy="381000"/>
          <wp:effectExtent l="19050" t="0" r="0" b="0"/>
          <wp:wrapNone/>
          <wp:docPr id="48082194" name="Imagen 5" descr="FORMATO DOCUMENTO PLANTIL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2" name="Imagen 5" descr="FORMATO DOCUMENTO PLANTILLA"/>
                  <pic:cNvPicPr>
                    <a:picLocks noChangeAspect="1" noChangeArrowheads="1"/>
                  </pic:cNvPicPr>
                </pic:nvPicPr>
                <pic:blipFill>
                  <a:blip r:embed="rId1">
                    <a:lum contrast="20000"/>
                  </a:blip>
                  <a:srcRect/>
                  <a:stretch>
                    <a:fillRect/>
                  </a:stretch>
                </pic:blipFill>
                <pic:spPr>
                  <a:xfrm>
                    <a:off x="0" y="0"/>
                    <a:ext cx="3486150" cy="381000"/>
                  </a:xfrm>
                  <a:prstGeom prst="rect">
                    <a:avLst/>
                  </a:prstGeom>
                  <a:solidFill>
                    <a:schemeClr val="bg1">
                      <a:lumMod val="50000"/>
                    </a:schemeClr>
                  </a:solidFill>
                  <a:ln w="9525">
                    <a:noFill/>
                    <a:miter lim="800000"/>
                    <a:headEnd/>
                    <a:tailEnd/>
                  </a:ln>
                </pic:spPr>
              </pic:pic>
            </a:graphicData>
          </a:graphic>
        </wp:anchor>
      </w:drawing>
    </w:r>
    <w:r>
      <w:rPr>
        <w:noProof/>
      </w:rPr>
      <w:drawing>
        <wp:anchor distT="0" distB="0" distL="114300" distR="114300" simplePos="0" relativeHeight="251661312" behindDoc="0" locked="0" layoutInCell="1" allowOverlap="1" wp14:anchorId="5C889E08" wp14:editId="00237C0A">
          <wp:simplePos x="0" y="0"/>
          <wp:positionH relativeFrom="column">
            <wp:posOffset>5200015</wp:posOffset>
          </wp:positionH>
          <wp:positionV relativeFrom="paragraph">
            <wp:posOffset>-305435</wp:posOffset>
          </wp:positionV>
          <wp:extent cx="1109980" cy="381000"/>
          <wp:effectExtent l="0" t="0" r="0" b="0"/>
          <wp:wrapNone/>
          <wp:docPr id="8920655" name="Imagen 5" descr="GAR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1" name="Imagen 5" descr="GARF"/>
                  <pic:cNvPicPr>
                    <a:picLocks noChangeAspect="1" noChangeArrowheads="1"/>
                  </pic:cNvPicPr>
                </pic:nvPicPr>
                <pic:blipFill>
                  <a:blip r:embed="rId2">
                    <a:clrChange>
                      <a:clrFrom>
                        <a:srgbClr val="FFFFFF"/>
                      </a:clrFrom>
                      <a:clrTo>
                        <a:srgbClr val="FFFFFF">
                          <a:alpha val="0"/>
                        </a:srgbClr>
                      </a:clrTo>
                    </a:clrChange>
                  </a:blip>
                  <a:srcRect/>
                  <a:stretch>
                    <a:fillRect/>
                  </a:stretch>
                </pic:blipFill>
                <pic:spPr>
                  <a:xfrm>
                    <a:off x="0" y="0"/>
                    <a:ext cx="1109980" cy="381000"/>
                  </a:xfrm>
                  <a:prstGeom prst="rect">
                    <a:avLst/>
                  </a:prstGeom>
                  <a:noFill/>
                  <a:ln w="9525">
                    <a:noFill/>
                    <a:miter lim="800000"/>
                    <a:headEnd/>
                    <a:tailEnd/>
                  </a:ln>
                </pic:spPr>
              </pic:pic>
            </a:graphicData>
          </a:graphic>
        </wp:anchor>
      </w:drawing>
    </w:r>
  </w:p>
  <w:p w14:paraId="08DCA498" w14:textId="77777777" w:rsidR="00BB1B37" w:rsidRDefault="00BB1B37" w:rsidP="00BB1B37">
    <w:pPr>
      <w:pStyle w:val="Encabezado"/>
      <w:tabs>
        <w:tab w:val="left" w:pos="795"/>
        <w:tab w:val="left" w:pos="7350"/>
      </w:tabs>
      <w:rPr>
        <w:rFonts w:ascii="Arial" w:hAnsi="Arial"/>
        <w:b/>
        <w:sz w:val="28"/>
        <w:lang w:val="es-MX"/>
      </w:rPr>
    </w:pPr>
    <w:r>
      <w:rPr>
        <w:noProof/>
      </w:rPr>
      <mc:AlternateContent>
        <mc:Choice Requires="wps">
          <w:drawing>
            <wp:anchor distT="0" distB="0" distL="114300" distR="114300" simplePos="0" relativeHeight="251659264" behindDoc="0" locked="0" layoutInCell="0" allowOverlap="1" wp14:anchorId="6C5A4B05" wp14:editId="5EFCF248">
              <wp:simplePos x="0" y="0"/>
              <wp:positionH relativeFrom="column">
                <wp:posOffset>-55245</wp:posOffset>
              </wp:positionH>
              <wp:positionV relativeFrom="paragraph">
                <wp:posOffset>144145</wp:posOffset>
              </wp:positionV>
              <wp:extent cx="5947410" cy="0"/>
              <wp:effectExtent l="30480" t="30480" r="32385" b="36195"/>
              <wp:wrapNone/>
              <wp:docPr id="250"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7410" cy="0"/>
                      </a:xfrm>
                      <a:prstGeom prst="line">
                        <a:avLst/>
                      </a:prstGeom>
                      <a:noFill/>
                      <a:ln w="57150" cmpd="thinThick">
                        <a:solidFill>
                          <a:srgbClr val="000000"/>
                        </a:solidFill>
                        <a:round/>
                      </a:ln>
                    </wps:spPr>
                    <wps:bodyPr/>
                  </wps:wsp>
                </a:graphicData>
              </a:graphic>
            </wp:anchor>
          </w:drawing>
        </mc:Choice>
        <mc:Fallback>
          <w:pict>
            <v:line w14:anchorId="326D168C" id="Line 1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5pt,11.35pt" to="463.95pt,1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" o:allowincell="f" strokeweight="4.5pt">
              <v:stroke linestyle="thinThick"/>
            </v:line>
          </w:pict>
        </mc:Fallback>
      </mc:AlternateContent>
    </w:r>
    <w:r>
      <w:rPr>
        <w:rFonts w:ascii="Arial" w:hAnsi="Arial"/>
        <w:b/>
        <w:sz w:val="28"/>
        <w:lang w:val="es-MX"/>
      </w:rPr>
      <w:tab/>
    </w:r>
    <w:r>
      <w:rPr>
        <w:rFonts w:ascii="Arial" w:hAnsi="Arial"/>
        <w:b/>
        <w:sz w:val="28"/>
        <w:lang w:val="es-MX"/>
      </w:rPr>
      <w:tab/>
    </w:r>
    <w:r>
      <w:rPr>
        <w:rFonts w:ascii="Arial" w:hAnsi="Arial"/>
        <w:b/>
        <w:sz w:val="28"/>
        <w:lang w:val="es-MX"/>
      </w:rPr>
      <w:tab/>
    </w:r>
  </w:p>
  <w:p w14:paraId="260A4B81" w14:textId="32594942" w:rsidR="00BB1B37" w:rsidRPr="00BB1B37" w:rsidRDefault="00BB1B37">
    <w:pPr>
      <w:pStyle w:val="Encabezado"/>
      <w:rPr>
        <w:lang w:val="es-ES_tradnl"/>
      </w:rPr>
    </w:pPr>
    <w:r>
      <w:rPr>
        <w:rFonts w:ascii="Arial" w:hAnsi="Arial"/>
        <w:b/>
        <w:sz w:val="28"/>
        <w:lang w:val="es-MX"/>
      </w:rPr>
      <w:t xml:space="preserve">                 </w:t>
    </w:r>
    <w:r>
      <w:rPr>
        <w:rFonts w:ascii="Times New Roman" w:eastAsia="Times New Roman" w:hAnsi="Times New Roman" w:cs="Times New Roman"/>
        <w:b/>
        <w:color w:val="040C28"/>
        <w:sz w:val="20"/>
        <w:szCs w:val="30"/>
        <w:lang w:val="es-ES_tradnl" w:eastAsia="es-ES"/>
      </w:rPr>
      <w:t>“AÑO DE LA ESPERANZA Y FORTALECIMIENTO DE LA DEMOCRACIA”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34915"/>
    <w:multiLevelType w:val="hybridMultilevel"/>
    <w:tmpl w:val="C6B4A408"/>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1E4B67EA"/>
    <w:multiLevelType w:val="hybridMultilevel"/>
    <w:tmpl w:val="9A74E41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26C92689"/>
    <w:multiLevelType w:val="hybridMultilevel"/>
    <w:tmpl w:val="2E4C610A"/>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2782595D"/>
    <w:multiLevelType w:val="hybridMultilevel"/>
    <w:tmpl w:val="23C8F8D4"/>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3D61639E"/>
    <w:multiLevelType w:val="hybridMultilevel"/>
    <w:tmpl w:val="F78C7A9C"/>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55AB4287"/>
    <w:multiLevelType w:val="hybridMultilevel"/>
    <w:tmpl w:val="11CAD924"/>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60DD5A6D"/>
    <w:multiLevelType w:val="hybridMultilevel"/>
    <w:tmpl w:val="9F96EC2A"/>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7A527076"/>
    <w:multiLevelType w:val="hybridMultilevel"/>
    <w:tmpl w:val="7A8010E2"/>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415201135">
    <w:abstractNumId w:val="0"/>
  </w:num>
  <w:num w:numId="2" w16cid:durableId="1626424609">
    <w:abstractNumId w:val="4"/>
  </w:num>
  <w:num w:numId="3" w16cid:durableId="1677070939">
    <w:abstractNumId w:val="6"/>
  </w:num>
  <w:num w:numId="4" w16cid:durableId="2138136059">
    <w:abstractNumId w:val="2"/>
  </w:num>
  <w:num w:numId="5" w16cid:durableId="608240903">
    <w:abstractNumId w:val="7"/>
  </w:num>
  <w:num w:numId="6" w16cid:durableId="1107844436">
    <w:abstractNumId w:val="1"/>
  </w:num>
  <w:num w:numId="7" w16cid:durableId="1552812517">
    <w:abstractNumId w:val="5"/>
  </w:num>
  <w:num w:numId="8" w16cid:durableId="1431377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1B37"/>
    <w:rsid w:val="00083345"/>
    <w:rsid w:val="001E2813"/>
    <w:rsid w:val="001E4D86"/>
    <w:rsid w:val="001F7158"/>
    <w:rsid w:val="0025440C"/>
    <w:rsid w:val="002957A6"/>
    <w:rsid w:val="0038027F"/>
    <w:rsid w:val="00422740"/>
    <w:rsid w:val="004F340D"/>
    <w:rsid w:val="005219B3"/>
    <w:rsid w:val="00575BB0"/>
    <w:rsid w:val="0058035D"/>
    <w:rsid w:val="005F23C4"/>
    <w:rsid w:val="006317E7"/>
    <w:rsid w:val="00662DAC"/>
    <w:rsid w:val="007367AE"/>
    <w:rsid w:val="00787161"/>
    <w:rsid w:val="008B1A9B"/>
    <w:rsid w:val="008B7AC6"/>
    <w:rsid w:val="008C6C8A"/>
    <w:rsid w:val="00934250"/>
    <w:rsid w:val="00A54AA7"/>
    <w:rsid w:val="00A815CD"/>
    <w:rsid w:val="00BB1B37"/>
    <w:rsid w:val="00BE109D"/>
    <w:rsid w:val="00C01AD3"/>
    <w:rsid w:val="00E07E21"/>
    <w:rsid w:val="00E42CB6"/>
    <w:rsid w:val="00EF3A3F"/>
    <w:rsid w:val="00F46973"/>
    <w:rsid w:val="00F9261D"/>
    <w:rsid w:val="00FA009C"/>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8FC1E0"/>
  <w15:chartTrackingRefBased/>
  <w15:docId w15:val="{79604CE0-3925-4490-9384-8146FE10E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BB1B3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BB1B3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BB1B37"/>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BB1B37"/>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BB1B37"/>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BB1B37"/>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B1B37"/>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B1B37"/>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BB1B37"/>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B1B37"/>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BB1B37"/>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BB1B37"/>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BB1B37"/>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BB1B37"/>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BB1B37"/>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B1B37"/>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B1B37"/>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B1B37"/>
    <w:rPr>
      <w:rFonts w:eastAsiaTheme="majorEastAsia" w:cstheme="majorBidi"/>
      <w:color w:val="272727" w:themeColor="text1" w:themeTint="D8"/>
    </w:rPr>
  </w:style>
  <w:style w:type="paragraph" w:styleId="Ttulo">
    <w:name w:val="Title"/>
    <w:basedOn w:val="Normal"/>
    <w:next w:val="Normal"/>
    <w:link w:val="TtuloCar"/>
    <w:uiPriority w:val="10"/>
    <w:qFormat/>
    <w:rsid w:val="00BB1B3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B1B3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B1B37"/>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BB1B3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B1B37"/>
    <w:pPr>
      <w:spacing w:before="160"/>
      <w:jc w:val="center"/>
    </w:pPr>
    <w:rPr>
      <w:i/>
      <w:iCs/>
      <w:color w:val="404040" w:themeColor="text1" w:themeTint="BF"/>
    </w:rPr>
  </w:style>
  <w:style w:type="character" w:customStyle="1" w:styleId="CitaCar">
    <w:name w:val="Cita Car"/>
    <w:basedOn w:val="Fuentedeprrafopredeter"/>
    <w:link w:val="Cita"/>
    <w:uiPriority w:val="29"/>
    <w:rsid w:val="00BB1B37"/>
    <w:rPr>
      <w:i/>
      <w:iCs/>
      <w:color w:val="404040" w:themeColor="text1" w:themeTint="BF"/>
    </w:rPr>
  </w:style>
  <w:style w:type="paragraph" w:styleId="Prrafodelista">
    <w:name w:val="List Paragraph"/>
    <w:basedOn w:val="Normal"/>
    <w:uiPriority w:val="34"/>
    <w:qFormat/>
    <w:rsid w:val="00BB1B37"/>
    <w:pPr>
      <w:ind w:left="720"/>
      <w:contextualSpacing/>
    </w:pPr>
  </w:style>
  <w:style w:type="character" w:styleId="nfasisintenso">
    <w:name w:val="Intense Emphasis"/>
    <w:basedOn w:val="Fuentedeprrafopredeter"/>
    <w:uiPriority w:val="21"/>
    <w:qFormat/>
    <w:rsid w:val="00BB1B37"/>
    <w:rPr>
      <w:i/>
      <w:iCs/>
      <w:color w:val="0F4761" w:themeColor="accent1" w:themeShade="BF"/>
    </w:rPr>
  </w:style>
  <w:style w:type="paragraph" w:styleId="Citadestacada">
    <w:name w:val="Intense Quote"/>
    <w:basedOn w:val="Normal"/>
    <w:next w:val="Normal"/>
    <w:link w:val="CitadestacadaCar"/>
    <w:uiPriority w:val="30"/>
    <w:qFormat/>
    <w:rsid w:val="00BB1B3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BB1B37"/>
    <w:rPr>
      <w:i/>
      <w:iCs/>
      <w:color w:val="0F4761" w:themeColor="accent1" w:themeShade="BF"/>
    </w:rPr>
  </w:style>
  <w:style w:type="character" w:styleId="Referenciaintensa">
    <w:name w:val="Intense Reference"/>
    <w:basedOn w:val="Fuentedeprrafopredeter"/>
    <w:uiPriority w:val="32"/>
    <w:qFormat/>
    <w:rsid w:val="00BB1B37"/>
    <w:rPr>
      <w:b/>
      <w:bCs/>
      <w:smallCaps/>
      <w:color w:val="0F4761" w:themeColor="accent1" w:themeShade="BF"/>
      <w:spacing w:val="5"/>
    </w:rPr>
  </w:style>
  <w:style w:type="table" w:customStyle="1" w:styleId="TableGrid">
    <w:name w:val="TableGrid"/>
    <w:rsid w:val="00BB1B37"/>
    <w:pPr>
      <w:spacing w:after="0" w:line="240" w:lineRule="auto"/>
    </w:pPr>
    <w:rPr>
      <w:rFonts w:eastAsia="Times New Roman"/>
      <w:lang w:eastAsia="es-PE"/>
    </w:rPr>
    <w:tblPr>
      <w:tblCellMar>
        <w:top w:w="0" w:type="dxa"/>
        <w:left w:w="0" w:type="dxa"/>
        <w:bottom w:w="0" w:type="dxa"/>
        <w:right w:w="0" w:type="dxa"/>
      </w:tblCellMar>
    </w:tblPr>
  </w:style>
  <w:style w:type="paragraph" w:styleId="Encabezado">
    <w:name w:val="header"/>
    <w:basedOn w:val="Normal"/>
    <w:link w:val="EncabezadoCar"/>
    <w:uiPriority w:val="99"/>
    <w:unhideWhenUsed/>
    <w:rsid w:val="00BB1B3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qFormat/>
    <w:rsid w:val="00BB1B37"/>
  </w:style>
  <w:style w:type="paragraph" w:styleId="Piedepgina">
    <w:name w:val="footer"/>
    <w:basedOn w:val="Normal"/>
    <w:link w:val="PiedepginaCar"/>
    <w:uiPriority w:val="99"/>
    <w:unhideWhenUsed/>
    <w:rsid w:val="00BB1B3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B1B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2094</Words>
  <Characters>11522</Characters>
  <Application>Microsoft Office Word</Application>
  <DocSecurity>0</DocSecurity>
  <Lines>96</Lines>
  <Paragraphs>27</Paragraphs>
  <ScaleCrop>false</ScaleCrop>
  <Company/>
  <LinksUpToDate>false</LinksUpToDate>
  <CharactersWithSpaces>13589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Hospital Regional Cusco</dc:creator>
  <cp:keywords/>
  <dc:description/>
  <cp:lastModifiedBy>Hospital Regional Cusco</cp:lastModifiedBy>
  <cp:revision>3</cp:revision>
  <dcterms:created xsi:type="dcterms:W3CDTF">2026-06-11T17:52:00Z</dcterms:created>
  <dcterms:modified xsi:type="dcterms:W3CDTF">2026-06-12T15:09:00Z</dcterms:modified>
</cp:coreProperties>
</file>