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B9C0203" w14:textId="302B635C" w:rsidR="002B28AD" w:rsidRDefault="005F448F" w:rsidP="005F44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0632385"/>
      <w:r w:rsidRPr="005F448F">
        <w:rPr>
          <w:rFonts w:ascii="Arial" w:hAnsi="Arial" w:cs="Arial"/>
          <w:b/>
          <w:sz w:val="20"/>
        </w:rPr>
        <w:t>ADQUISICION DE TRANSCEIVERS OPTICOS Y HUB DE TRANSFERENCIA PARA CONECTIVIDAD DATOS</w:t>
      </w:r>
    </w:p>
    <w:bookmarkEnd w:id="0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37E4EA3A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5F448F" w:rsidRPr="005F448F">
        <w:rPr>
          <w:rFonts w:ascii="Arial" w:hAnsi="Arial" w:cs="Arial"/>
          <w:b/>
          <w:sz w:val="20"/>
        </w:rPr>
        <w:t>ADQUISICION DE TRANSCEIVERS OPTICOS Y HUB DE TRANSFERENCIA PARA CONECTIVIDAD DATOS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0C1367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2D67"/>
    <w:rsid w:val="00234D9B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6069"/>
    <w:rsid w:val="005C17FB"/>
    <w:rsid w:val="005F448F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31BF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2025-06-19T21:48:00Z</dcterms:created>
  <dcterms:modified xsi:type="dcterms:W3CDTF">2025-06-19T21:48:00Z</dcterms:modified>
</cp:coreProperties>
</file>