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C81481" w14:textId="2219001A" w:rsidR="006C1E81" w:rsidRPr="006C1E81" w:rsidRDefault="006C1E81" w:rsidP="006C1E81">
      <w:pPr>
        <w:rPr>
          <w:highlight w:val="cyan"/>
          <w:u w:val="single"/>
        </w:rPr>
      </w:pPr>
      <w:r w:rsidRPr="006C1E81">
        <w:rPr>
          <w:highlight w:val="cyan"/>
          <w:u w:val="single"/>
        </w:rPr>
        <w:t>REQUERIMIENTO: LAPIZ RO</w:t>
      </w:r>
      <w:r>
        <w:rPr>
          <w:highlight w:val="cyan"/>
          <w:u w:val="single"/>
        </w:rPr>
        <w:t>JO</w:t>
      </w:r>
      <w:r w:rsidRPr="006C1E81">
        <w:rPr>
          <w:highlight w:val="cyan"/>
          <w:u w:val="single"/>
        </w:rPr>
        <w:t xml:space="preserve"> Y ENGRAPADOR MEDIANO</w:t>
      </w:r>
    </w:p>
    <w:p w14:paraId="42A22B25" w14:textId="349E6CFE" w:rsidR="006C1E81" w:rsidRDefault="006C1E81" w:rsidP="006C1E81">
      <w:r w:rsidRPr="006C1E81">
        <w:rPr>
          <w:highlight w:val="yellow"/>
        </w:rPr>
        <w:t>LAPIZ ROJO-------------------------------------------------------CANTIDAD 180 UNIDADES</w:t>
      </w:r>
    </w:p>
    <w:p w14:paraId="5A61B49B" w14:textId="7D410678" w:rsidR="006C1E81" w:rsidRDefault="006C1E81" w:rsidP="006C1E81">
      <w:pPr>
        <w:spacing w:after="0"/>
        <w:jc w:val="both"/>
      </w:pPr>
      <w:r>
        <w:t>1. DENOMINACION DE LA CONTRATACION</w:t>
      </w:r>
    </w:p>
    <w:p w14:paraId="3A216004" w14:textId="705FC5D8" w:rsidR="006C1E81" w:rsidRDefault="006C1E81" w:rsidP="006C1E81">
      <w:pPr>
        <w:spacing w:after="0"/>
        <w:jc w:val="both"/>
      </w:pPr>
      <w:r>
        <w:t>Adquisición, LAPIZ, PERFORADOR MEDIANO para stock del almacén central de la empresa SEDAPAR S.A.</w:t>
      </w:r>
    </w:p>
    <w:p w14:paraId="2D6D3E04" w14:textId="77777777" w:rsidR="006C1E81" w:rsidRDefault="006C1E81" w:rsidP="006C1E81">
      <w:pPr>
        <w:jc w:val="both"/>
      </w:pPr>
      <w:r>
        <w:t xml:space="preserve">2. FINALIDAD PUBLICA </w:t>
      </w:r>
    </w:p>
    <w:p w14:paraId="52F0DAA5" w14:textId="77777777" w:rsidR="006C1E81" w:rsidRDefault="006C1E81" w:rsidP="006C1E81">
      <w:pPr>
        <w:jc w:val="both"/>
      </w:pPr>
      <w:r>
        <w:t>Garantizar el adecuado funcionamiento de las diferentes áreas usuarias de la sede central de SEDAPAR con el abastecimiento oportuno de LAPIZ 2H, Y PERFORADOR MEDIANO necesarios para el desarrollo continuo de actividades de Las áreas usuarias, evitando retrasos en los procesos internos de la Entidad.</w:t>
      </w:r>
    </w:p>
    <w:p w14:paraId="49C65076" w14:textId="77777777" w:rsidR="006C1E81" w:rsidRDefault="006C1E81" w:rsidP="006C1E81">
      <w:pPr>
        <w:jc w:val="both"/>
      </w:pPr>
      <w:r>
        <w:t>3. OBJETO DE LA CONTRATACION</w:t>
      </w:r>
    </w:p>
    <w:p w14:paraId="248A7A7B" w14:textId="352AE600" w:rsidR="006C1E81" w:rsidRDefault="006C1E81" w:rsidP="006C1E81">
      <w:pPr>
        <w:jc w:val="both"/>
      </w:pPr>
      <w:r>
        <w:t>El presente requerimiento comprende la adquisición de LAPIZ, Y PERFORADOR MEDIANO destinados a las diferentes áreas usuarias de la sede central de SEDAPAR necesarios para el cumplimiento de funciones, como la oportuna perforación de documentos para archivamiento, correcciones y/</w:t>
      </w:r>
      <w:proofErr w:type="spellStart"/>
      <w:r>
        <w:t>o</w:t>
      </w:r>
      <w:proofErr w:type="spellEnd"/>
      <w:r>
        <w:t xml:space="preserve"> observaciones de documentos de la entidad.</w:t>
      </w:r>
    </w:p>
    <w:p w14:paraId="6F898F22" w14:textId="77777777" w:rsidR="006C1E81" w:rsidRDefault="006C1E81" w:rsidP="006C1E81">
      <w:pPr>
        <w:jc w:val="both"/>
      </w:pPr>
      <w:r>
        <w:t>Los bienes deberán ser nuevos, de buena calidad y cumplir con las especificaciones técnicas mínimas establecidas, garantizando durabilidad, funcionalidad y eficiencia en su uso diario.</w:t>
      </w:r>
    </w:p>
    <w:p w14:paraId="0B44EC03" w14:textId="77777777" w:rsidR="006C1E81" w:rsidRDefault="006C1E81" w:rsidP="006C1E81">
      <w:pPr>
        <w:jc w:val="both"/>
      </w:pPr>
      <w:r>
        <w:t>4. ACTIVIDAD DEL POI</w:t>
      </w:r>
    </w:p>
    <w:p w14:paraId="6E1EEEDA" w14:textId="77777777" w:rsidR="006C1E81" w:rsidRDefault="006C1E81" w:rsidP="006C1E81">
      <w:pPr>
        <w:jc w:val="both"/>
      </w:pPr>
      <w:r>
        <w:t>UNIDAD ORGÁNICA</w:t>
      </w:r>
      <w:r>
        <w:tab/>
        <w:t>ACTIVIDAD OPERATIVA POI 2025</w:t>
      </w:r>
    </w:p>
    <w:p w14:paraId="33BE1124" w14:textId="77777777" w:rsidR="006C1E81" w:rsidRDefault="006C1E81" w:rsidP="006C1E81">
      <w:pPr>
        <w:jc w:val="both"/>
      </w:pPr>
      <w:r>
        <w:tab/>
        <w:t>CÓDIGO</w:t>
      </w:r>
      <w:r>
        <w:tab/>
        <w:t>NOMBRE ACTIVIDAD OPERATIVA</w:t>
      </w:r>
    </w:p>
    <w:p w14:paraId="4435116D" w14:textId="222BDE9D" w:rsidR="006C1E81" w:rsidRDefault="006C1E81" w:rsidP="006C1E81">
      <w:pPr>
        <w:jc w:val="both"/>
      </w:pPr>
      <w:r>
        <w:t>Departamento de Logística</w:t>
      </w:r>
      <w:r>
        <w:tab/>
        <w:t>AOI50012900013</w:t>
      </w:r>
      <w:r>
        <w:tab/>
        <w:t>Gestión Logística</w:t>
      </w:r>
    </w:p>
    <w:p w14:paraId="42EA6A60" w14:textId="77777777" w:rsidR="006C1E81" w:rsidRDefault="006C1E81" w:rsidP="006C1E81">
      <w:pPr>
        <w:jc w:val="both"/>
      </w:pPr>
      <w:r>
        <w:t>5. CÓDIGO CÁTALOGO ÚNICO DE BIENES, SERVICIOS Y OBRAS (CUBSO)</w:t>
      </w:r>
    </w:p>
    <w:p w14:paraId="2CCEC07A" w14:textId="38A71798" w:rsidR="006C1E81" w:rsidRDefault="006C1E81" w:rsidP="006C1E81">
      <w:pPr>
        <w:jc w:val="both"/>
      </w:pPr>
      <w:r>
        <w:t>CUBSO: 4412170600389194</w:t>
      </w:r>
    </w:p>
    <w:p w14:paraId="12BACF81" w14:textId="77777777" w:rsidR="006C1E81" w:rsidRPr="006C1E81" w:rsidRDefault="006C1E81" w:rsidP="006C1E81">
      <w:pPr>
        <w:jc w:val="both"/>
        <w:rPr>
          <w:highlight w:val="yellow"/>
        </w:rPr>
      </w:pPr>
      <w:r w:rsidRPr="006C1E81">
        <w:rPr>
          <w:highlight w:val="yellow"/>
        </w:rPr>
        <w:t>6. ESPECIFICACIONES TECNICAS</w:t>
      </w:r>
    </w:p>
    <w:p w14:paraId="23B750C5" w14:textId="77777777" w:rsidR="006C1E81" w:rsidRPr="006C1E81" w:rsidRDefault="006C1E81" w:rsidP="006C1E81">
      <w:pPr>
        <w:jc w:val="both"/>
        <w:rPr>
          <w:highlight w:val="yellow"/>
        </w:rPr>
      </w:pPr>
      <w:r w:rsidRPr="006C1E81">
        <w:rPr>
          <w:highlight w:val="yellow"/>
        </w:rPr>
        <w:t>•</w:t>
      </w:r>
      <w:r w:rsidRPr="006C1E81">
        <w:rPr>
          <w:highlight w:val="yellow"/>
        </w:rPr>
        <w:tab/>
        <w:t>Tipo: chequeo</w:t>
      </w:r>
    </w:p>
    <w:p w14:paraId="4AA2654A" w14:textId="77777777" w:rsidR="006C1E81" w:rsidRPr="006C1E81" w:rsidRDefault="006C1E81" w:rsidP="006C1E81">
      <w:pPr>
        <w:jc w:val="both"/>
        <w:rPr>
          <w:highlight w:val="yellow"/>
        </w:rPr>
      </w:pPr>
      <w:r w:rsidRPr="006C1E81">
        <w:rPr>
          <w:highlight w:val="yellow"/>
        </w:rPr>
        <w:t>•</w:t>
      </w:r>
      <w:r w:rsidRPr="006C1E81">
        <w:rPr>
          <w:highlight w:val="yellow"/>
        </w:rPr>
        <w:tab/>
        <w:t>Ancho: 0.50 – 1.00 mm</w:t>
      </w:r>
    </w:p>
    <w:p w14:paraId="5314ABE9" w14:textId="77777777" w:rsidR="006C1E81" w:rsidRPr="006C1E81" w:rsidRDefault="006C1E81" w:rsidP="006C1E81">
      <w:pPr>
        <w:jc w:val="both"/>
        <w:rPr>
          <w:highlight w:val="yellow"/>
        </w:rPr>
      </w:pPr>
      <w:r w:rsidRPr="006C1E81">
        <w:rPr>
          <w:highlight w:val="yellow"/>
        </w:rPr>
        <w:t>•</w:t>
      </w:r>
      <w:r w:rsidRPr="006C1E81">
        <w:rPr>
          <w:highlight w:val="yellow"/>
        </w:rPr>
        <w:tab/>
        <w:t>Material: d/madera</w:t>
      </w:r>
    </w:p>
    <w:p w14:paraId="5B13F64A" w14:textId="77777777" w:rsidR="006C1E81" w:rsidRPr="006C1E81" w:rsidRDefault="006C1E81" w:rsidP="006C1E81">
      <w:pPr>
        <w:jc w:val="both"/>
        <w:rPr>
          <w:highlight w:val="yellow"/>
        </w:rPr>
      </w:pPr>
      <w:r w:rsidRPr="006C1E81">
        <w:rPr>
          <w:highlight w:val="yellow"/>
        </w:rPr>
        <w:t>•</w:t>
      </w:r>
      <w:r w:rsidRPr="006C1E81">
        <w:rPr>
          <w:highlight w:val="yellow"/>
        </w:rPr>
        <w:tab/>
        <w:t>garantía: 12 meses</w:t>
      </w:r>
    </w:p>
    <w:p w14:paraId="27DC5D42" w14:textId="77777777" w:rsidR="006C1E81" w:rsidRPr="006C1E81" w:rsidRDefault="006C1E81" w:rsidP="006C1E81">
      <w:pPr>
        <w:jc w:val="both"/>
        <w:rPr>
          <w:highlight w:val="yellow"/>
        </w:rPr>
      </w:pPr>
      <w:r w:rsidRPr="006C1E81">
        <w:rPr>
          <w:highlight w:val="yellow"/>
        </w:rPr>
        <w:t>•</w:t>
      </w:r>
      <w:r w:rsidRPr="006C1E81">
        <w:rPr>
          <w:highlight w:val="yellow"/>
        </w:rPr>
        <w:tab/>
        <w:t>unidad de despacho: unidad</w:t>
      </w:r>
    </w:p>
    <w:p w14:paraId="4BF287CA" w14:textId="77777777" w:rsidR="006C1E81" w:rsidRDefault="006C1E81" w:rsidP="006C1E81">
      <w:pPr>
        <w:jc w:val="both"/>
      </w:pPr>
      <w:r w:rsidRPr="006C1E81">
        <w:rPr>
          <w:highlight w:val="yellow"/>
        </w:rPr>
        <w:t>•</w:t>
      </w:r>
      <w:r w:rsidRPr="006C1E81">
        <w:rPr>
          <w:highlight w:val="yellow"/>
        </w:rPr>
        <w:tab/>
        <w:t>color: rojo</w:t>
      </w:r>
    </w:p>
    <w:p w14:paraId="32502FEB" w14:textId="77777777" w:rsidR="006C1E81" w:rsidRDefault="006C1E81" w:rsidP="006C1E81">
      <w:pPr>
        <w:jc w:val="both"/>
      </w:pPr>
      <w:r>
        <w:lastRenderedPageBreak/>
        <w:t>7. PRESTACIONES ACCESORIAS PARA BIENES O SERVICIOS</w:t>
      </w:r>
    </w:p>
    <w:p w14:paraId="494B148D" w14:textId="77777777" w:rsidR="006C1E81" w:rsidRDefault="006C1E81" w:rsidP="006C1E81">
      <w:pPr>
        <w:jc w:val="both"/>
      </w:pPr>
      <w:r>
        <w:t xml:space="preserve">No Aplica. </w:t>
      </w:r>
    </w:p>
    <w:p w14:paraId="60603851" w14:textId="77777777" w:rsidR="006C1E81" w:rsidRDefault="006C1E81" w:rsidP="006C1E81">
      <w:pPr>
        <w:jc w:val="both"/>
      </w:pPr>
      <w:r>
        <w:t xml:space="preserve">8. OTROS RECURSOS QUE EL CONTRATISTA NECESITE PARA EJECUTAR LA CONTRATACIÓN </w:t>
      </w:r>
    </w:p>
    <w:p w14:paraId="665D661F" w14:textId="77777777" w:rsidR="006C1E81" w:rsidRDefault="006C1E81" w:rsidP="006C1E81">
      <w:pPr>
        <w:jc w:val="both"/>
      </w:pPr>
      <w:r>
        <w:t>No aplica.</w:t>
      </w:r>
    </w:p>
    <w:p w14:paraId="2823A647" w14:textId="77777777" w:rsidR="006C1E81" w:rsidRDefault="006C1E81" w:rsidP="006C1E81">
      <w:pPr>
        <w:jc w:val="both"/>
      </w:pPr>
      <w:r>
        <w:t>9. MODALIDAD DE PAGO</w:t>
      </w:r>
    </w:p>
    <w:p w14:paraId="7AAEC4A9" w14:textId="77777777" w:rsidR="006C1E81" w:rsidRDefault="006C1E81" w:rsidP="006C1E81">
      <w:pPr>
        <w:jc w:val="both"/>
      </w:pPr>
      <w:r>
        <w:t>El contrato se rige por la modalidad de SUMA ALZADA, de conformidad con el artículo 130 del Reglamento.</w:t>
      </w:r>
    </w:p>
    <w:p w14:paraId="1DBB838E" w14:textId="77777777" w:rsidR="006C1E81" w:rsidRDefault="006C1E81" w:rsidP="006C1E81">
      <w:pPr>
        <w:jc w:val="both"/>
      </w:pPr>
      <w:r>
        <w:t>10. PLAZO DE ENTREGA</w:t>
      </w:r>
    </w:p>
    <w:p w14:paraId="3DB29150" w14:textId="77777777" w:rsidR="006C1E81" w:rsidRDefault="006C1E81" w:rsidP="006C1E81">
      <w:pPr>
        <w:jc w:val="both"/>
      </w:pPr>
      <w:r>
        <w:t>Los bienes materia de la presente convocatoria se entregan en el plazo de 15 días calendario, en concordancia con lo establecido en la estrategia de contratación.</w:t>
      </w:r>
    </w:p>
    <w:p w14:paraId="067D82C8" w14:textId="77777777" w:rsidR="006C1E81" w:rsidRDefault="006C1E81" w:rsidP="006C1E81">
      <w:pPr>
        <w:jc w:val="both"/>
      </w:pPr>
      <w:r>
        <w:t>11. LUGAR DE ENTREGA DE LOS BIENES</w:t>
      </w:r>
    </w:p>
    <w:p w14:paraId="180EE888" w14:textId="77777777" w:rsidR="006C1E81" w:rsidRDefault="006C1E81" w:rsidP="006C1E81">
      <w:pPr>
        <w:jc w:val="both"/>
      </w:pPr>
      <w:r>
        <w:t xml:space="preserve">Los bienes materia de la presente convocatoria se entregan en Almacén Central sito en Av. Del Pilar </w:t>
      </w:r>
      <w:proofErr w:type="spellStart"/>
      <w:r>
        <w:t>N°</w:t>
      </w:r>
      <w:proofErr w:type="spellEnd"/>
      <w:r>
        <w:t xml:space="preserve"> 1701 – Cercado, distrito, provincia y departamento de Arequipa, de lunes a viernes en el horario de 07:10 a 15:00 horas.</w:t>
      </w:r>
    </w:p>
    <w:p w14:paraId="0EFB73E3" w14:textId="77777777" w:rsidR="006C1E81" w:rsidRDefault="006C1E81" w:rsidP="006C1E81">
      <w:pPr>
        <w:jc w:val="both"/>
      </w:pPr>
      <w:r>
        <w:t xml:space="preserve">12. SISTEMA DE ENTREGA PARA BIENES Y SERVICIOS </w:t>
      </w:r>
    </w:p>
    <w:p w14:paraId="5F999412" w14:textId="77777777" w:rsidR="006C1E81" w:rsidRDefault="006C1E81" w:rsidP="006C1E81">
      <w:pPr>
        <w:jc w:val="both"/>
      </w:pPr>
      <w:r>
        <w:t>No aplica</w:t>
      </w:r>
    </w:p>
    <w:p w14:paraId="21D250C1" w14:textId="77777777" w:rsidR="006C1E81" w:rsidRDefault="006C1E81" w:rsidP="006C1E81">
      <w:pPr>
        <w:jc w:val="both"/>
      </w:pPr>
      <w:r>
        <w:t xml:space="preserve">13. FORMA DE PAGO PARA BIENES </w:t>
      </w:r>
    </w:p>
    <w:p w14:paraId="1C70CA44" w14:textId="77777777" w:rsidR="006C1E81" w:rsidRDefault="006C1E81" w:rsidP="006C1E81">
      <w:pPr>
        <w:jc w:val="both"/>
      </w:pPr>
      <w:r>
        <w:t>El pago es único y se realiza en un plazo máximo de diez días hábiles luego de otorgada la conformidad por parte del área usuaria y es prorrogable, previa justificación de la demora, por cinco días hábiles.</w:t>
      </w:r>
    </w:p>
    <w:p w14:paraId="2E0C577D" w14:textId="77777777" w:rsidR="006C1E81" w:rsidRDefault="006C1E81" w:rsidP="006C1E81">
      <w:pPr>
        <w:jc w:val="both"/>
      </w:pPr>
      <w:r>
        <w:t>14. CONFORMIDAD</w:t>
      </w:r>
    </w:p>
    <w:p w14:paraId="2A852683" w14:textId="77777777" w:rsidR="006C1E81" w:rsidRDefault="006C1E81" w:rsidP="006C1E81">
      <w:pPr>
        <w:jc w:val="both"/>
      </w:pPr>
      <w:r>
        <w:t>Será otorgada por el almacén de la sede central de SEDAPAR, a través de la verificación del cumplimiento de las condiciones establecidas en las especificaciones técnicas en el plazo máximo de siete (7) días de producida la recepción, de la prestación total efectuada. En caso de observaciones se procederá de acuerdo con lo indicado en el artículo 144 del Reglamento de la Ley 32069.</w:t>
      </w:r>
    </w:p>
    <w:p w14:paraId="512329BC" w14:textId="77777777" w:rsidR="006C1E81" w:rsidRDefault="006C1E81" w:rsidP="006C1E81">
      <w:pPr>
        <w:jc w:val="both"/>
      </w:pPr>
      <w:r>
        <w:t>15. GARANTÍAS</w:t>
      </w:r>
    </w:p>
    <w:p w14:paraId="4D04E956" w14:textId="77777777" w:rsidR="006C1E81" w:rsidRDefault="006C1E81" w:rsidP="006C1E81">
      <w:pPr>
        <w:jc w:val="both"/>
      </w:pPr>
      <w:r>
        <w:t>Garantía comercial de 12 meses por defectos de fabrica</w:t>
      </w:r>
    </w:p>
    <w:p w14:paraId="5078727D" w14:textId="77777777" w:rsidR="006C1E81" w:rsidRDefault="006C1E81" w:rsidP="006C1E81">
      <w:pPr>
        <w:jc w:val="both"/>
      </w:pPr>
      <w:r>
        <w:t>16. VICIOS OCULTOS:</w:t>
      </w:r>
    </w:p>
    <w:p w14:paraId="37CD14FB" w14:textId="77777777" w:rsidR="006C1E81" w:rsidRDefault="006C1E81" w:rsidP="006C1E81">
      <w:pPr>
        <w:jc w:val="both"/>
      </w:pPr>
      <w:r>
        <w:t xml:space="preserve">La recepción conforme de la prestación por parte de LA ENTIDAD no enerva su derecho a reclamar posteriormente por defectos o vicios ocultos, conforme a lo </w:t>
      </w:r>
      <w:r>
        <w:lastRenderedPageBreak/>
        <w:t xml:space="preserve">dispuesto por los artículos 69 de la Ley </w:t>
      </w:r>
      <w:proofErr w:type="spellStart"/>
      <w:r>
        <w:t>N°</w:t>
      </w:r>
      <w:proofErr w:type="spellEnd"/>
      <w:r>
        <w:t xml:space="preserve"> 32069, Ley General de Contrataciones Públicas y 144 de su Reglamento aprobado por Decreto Supremo </w:t>
      </w:r>
      <w:proofErr w:type="spellStart"/>
      <w:r>
        <w:t>N°</w:t>
      </w:r>
      <w:proofErr w:type="spellEnd"/>
      <w:r>
        <w:t xml:space="preserve"> 009-2025-EF.</w:t>
      </w:r>
    </w:p>
    <w:p w14:paraId="51AAA66B" w14:textId="77777777" w:rsidR="006C1E81" w:rsidRDefault="006C1E81" w:rsidP="006C1E81">
      <w:pPr>
        <w:jc w:val="both"/>
      </w:pPr>
      <w:r>
        <w:t>El plazo máximo de responsabilidad del contratista es de un (01) año contado a partir de la conformidad otorgada por LA ENTIDAD CONTRATANTE.</w:t>
      </w:r>
    </w:p>
    <w:p w14:paraId="1ABF2A6B" w14:textId="77777777" w:rsidR="006C1E81" w:rsidRDefault="006C1E81" w:rsidP="006C1E81">
      <w:pPr>
        <w:jc w:val="both"/>
      </w:pPr>
      <w:r>
        <w:t xml:space="preserve">17. RESPONSABILIDAD DEL CONTRATISTA </w:t>
      </w:r>
    </w:p>
    <w:p w14:paraId="32CB12A7" w14:textId="77777777" w:rsidR="006C1E81" w:rsidRDefault="006C1E81" w:rsidP="006C1E81">
      <w:pPr>
        <w:jc w:val="both"/>
      </w:pPr>
      <w:r>
        <w:t>Cumplir con el tiempo de entrega y calidad de los productos.</w:t>
      </w:r>
    </w:p>
    <w:p w14:paraId="33976AF5" w14:textId="77777777" w:rsidR="006C1E81" w:rsidRDefault="006C1E81" w:rsidP="006C1E81">
      <w:pPr>
        <w:jc w:val="both"/>
      </w:pPr>
      <w:r>
        <w:t>18. PENALIDADES</w:t>
      </w:r>
    </w:p>
    <w:p w14:paraId="52EF0E1F" w14:textId="77777777" w:rsidR="006C1E81" w:rsidRDefault="006C1E81" w:rsidP="006C1E81">
      <w:pPr>
        <w:jc w:val="both"/>
      </w:pPr>
      <w:r>
        <w:t>18.1.</w:t>
      </w:r>
      <w:r>
        <w:tab/>
        <w:t>PENALIDAD POR MORA DE EJECUCIÓN</w:t>
      </w:r>
    </w:p>
    <w:p w14:paraId="37FDA24A" w14:textId="77777777" w:rsidR="006C1E81" w:rsidRDefault="006C1E81" w:rsidP="006C1E81">
      <w:pPr>
        <w:jc w:val="both"/>
      </w:pPr>
      <w:r>
        <w:t xml:space="preserve">De conformidad con la Ley de Contrataciones del estado en su artículo 120. En caso de retraso injustificado del proveedor en la ejecución de las prestaciones objeto del contrato, la Entidad le aplica automáticamente una penalidad por mora por cada día de atraso que le sea imputable. </w:t>
      </w:r>
    </w:p>
    <w:p w14:paraId="1847C15C" w14:textId="77777777" w:rsidR="006C1E81" w:rsidRDefault="006C1E81" w:rsidP="006C1E81">
      <w:pPr>
        <w:jc w:val="both"/>
      </w:pPr>
      <w:r>
        <w:t xml:space="preserve">La penalidad se aplica automáticamente y se calcula de acuerdo con la siguiente fórmula: </w:t>
      </w:r>
    </w:p>
    <w:p w14:paraId="13D19D0C" w14:textId="77777777" w:rsidR="006C1E81" w:rsidRDefault="006C1E81" w:rsidP="006C1E81">
      <w:pPr>
        <w:jc w:val="both"/>
      </w:pPr>
      <w:r>
        <w:t>Penalidad diaria = 0.10 x monto</w:t>
      </w:r>
    </w:p>
    <w:p w14:paraId="6B8298CB" w14:textId="77777777" w:rsidR="006C1E81" w:rsidRDefault="006C1E81" w:rsidP="006C1E81">
      <w:pPr>
        <w:jc w:val="both"/>
      </w:pPr>
      <w:r>
        <w:t xml:space="preserve">                              F x plazo en días </w:t>
      </w:r>
    </w:p>
    <w:p w14:paraId="0C2C8FDF" w14:textId="77777777" w:rsidR="006C1E81" w:rsidRDefault="006C1E81" w:rsidP="006C1E81">
      <w:pPr>
        <w:jc w:val="both"/>
      </w:pPr>
      <w:r>
        <w:t>Donde F tiene los siguientes valores:</w:t>
      </w:r>
    </w:p>
    <w:p w14:paraId="249815AF" w14:textId="77777777" w:rsidR="006C1E81" w:rsidRDefault="006C1E81" w:rsidP="006C1E81">
      <w:pPr>
        <w:jc w:val="both"/>
      </w:pPr>
      <w:r>
        <w:t>Para bienes y servicios: F = 0.40.</w:t>
      </w:r>
    </w:p>
    <w:p w14:paraId="7984B2D6" w14:textId="77777777" w:rsidR="006C1E81" w:rsidRDefault="006C1E81" w:rsidP="006C1E81">
      <w:pPr>
        <w:jc w:val="both"/>
      </w:pPr>
      <w:r>
        <w:t>Para obras:</w:t>
      </w:r>
    </w:p>
    <w:p w14:paraId="72CDBAE5" w14:textId="77777777" w:rsidR="006C1E81" w:rsidRDefault="006C1E81" w:rsidP="006C1E81">
      <w:pPr>
        <w:jc w:val="both"/>
      </w:pPr>
      <w:r>
        <w:t>a)</w:t>
      </w:r>
      <w:r>
        <w:tab/>
        <w:t>Para plazos menores o iguales a sesenta días: F = 0.40</w:t>
      </w:r>
    </w:p>
    <w:p w14:paraId="5987C678" w14:textId="77777777" w:rsidR="006C1E81" w:rsidRDefault="006C1E81" w:rsidP="006C1E81">
      <w:pPr>
        <w:jc w:val="both"/>
      </w:pPr>
      <w:r>
        <w:t>b)</w:t>
      </w:r>
      <w:r>
        <w:tab/>
        <w:t>Para plazos entre sesenta y uno a ciento veinte días: F = 0.25</w:t>
      </w:r>
    </w:p>
    <w:p w14:paraId="48D5DD5C" w14:textId="77777777" w:rsidR="006C1E81" w:rsidRDefault="006C1E81" w:rsidP="006C1E81">
      <w:pPr>
        <w:jc w:val="both"/>
      </w:pPr>
      <w:r>
        <w:t>c)</w:t>
      </w:r>
      <w:r>
        <w:tab/>
        <w:t>Para plazos mayores a ciento veinte días: F = 0.15</w:t>
      </w:r>
    </w:p>
    <w:p w14:paraId="4F99DE40" w14:textId="77777777" w:rsidR="006C1E81" w:rsidRDefault="006C1E81" w:rsidP="006C1E81">
      <w:pPr>
        <w:jc w:val="both"/>
      </w:pPr>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5CF01032" w14:textId="77777777" w:rsidR="006C1E81" w:rsidRDefault="006C1E81" w:rsidP="006C1E81">
      <w:pPr>
        <w:jc w:val="both"/>
      </w:pPr>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00AA2AEE" w14:textId="77777777" w:rsidR="006C1E81" w:rsidRDefault="006C1E81" w:rsidP="006C1E81">
      <w:pPr>
        <w:jc w:val="both"/>
      </w:pPr>
      <w:r>
        <w:lastRenderedPageBreak/>
        <w:t>18.2. OTRAS PENALIDADES</w:t>
      </w:r>
    </w:p>
    <w:p w14:paraId="1B3D9AFE" w14:textId="77777777" w:rsidR="006C1E81" w:rsidRDefault="006C1E81" w:rsidP="006C1E81">
      <w:pPr>
        <w:jc w:val="both"/>
      </w:pPr>
      <w:r>
        <w:t xml:space="preserve">No aplica. </w:t>
      </w:r>
    </w:p>
    <w:p w14:paraId="256FD466" w14:textId="77777777" w:rsidR="006C1E81" w:rsidRDefault="006C1E81" w:rsidP="006C1E81">
      <w:pPr>
        <w:jc w:val="both"/>
      </w:pPr>
      <w:r>
        <w:t>19. ADELANTOS</w:t>
      </w:r>
    </w:p>
    <w:p w14:paraId="4E340F07" w14:textId="77777777" w:rsidR="006C1E81" w:rsidRDefault="006C1E81" w:rsidP="006C1E81">
      <w:pPr>
        <w:jc w:val="both"/>
      </w:pPr>
      <w:r>
        <w:t>No aplica.</w:t>
      </w:r>
    </w:p>
    <w:p w14:paraId="3E316A0E" w14:textId="77777777" w:rsidR="006C1E81" w:rsidRDefault="006C1E81" w:rsidP="006C1E81">
      <w:pPr>
        <w:jc w:val="both"/>
      </w:pPr>
      <w:r>
        <w:t>20. GARANTÍA DE FIEL CUMPLIMIENTO PARA BIENES Y SERVICIOS</w:t>
      </w:r>
    </w:p>
    <w:p w14:paraId="08BE6977" w14:textId="77777777" w:rsidR="006C1E81" w:rsidRDefault="006C1E81" w:rsidP="006C1E81">
      <w:pPr>
        <w:jc w:val="both"/>
      </w:pPr>
      <w:r>
        <w:t>No aplica</w:t>
      </w:r>
    </w:p>
    <w:p w14:paraId="0BE0AD8F" w14:textId="77777777" w:rsidR="006C1E81" w:rsidRDefault="006C1E81" w:rsidP="006C1E81">
      <w:pPr>
        <w:jc w:val="both"/>
      </w:pPr>
      <w:r>
        <w:t>21. CLAUSULA ANTICORRUPCIÓN Y ANTISOBORNO</w:t>
      </w:r>
    </w:p>
    <w:p w14:paraId="456F0AAF" w14:textId="77777777" w:rsidR="006C1E81" w:rsidRDefault="006C1E81" w:rsidP="006C1E81">
      <w:pPr>
        <w:jc w:val="both"/>
      </w:pPr>
      <w:r>
        <w:t>EL CONTRATISTA declara y garantiza no haber ofrecido, negociado, prometido o efectuado ningún pago o entrega de cualquier beneficio o incentivo ilegal, de manera directa o indirecta, a cualquier servidor de la entidad contratante.</w:t>
      </w:r>
    </w:p>
    <w:p w14:paraId="4FF9BD35" w14:textId="77777777" w:rsidR="006C1E81" w:rsidRDefault="006C1E81" w:rsidP="006C1E81">
      <w:pPr>
        <w:jc w:val="both"/>
      </w:pPr>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ADC67BB" w14:textId="77777777" w:rsidR="006C1E81" w:rsidRDefault="006C1E81" w:rsidP="006C1E81">
      <w:pPr>
        <w:jc w:val="both"/>
      </w:pPr>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48443BB" w14:textId="77777777" w:rsidR="006C1E81" w:rsidRDefault="006C1E81" w:rsidP="006C1E81">
      <w:pPr>
        <w:jc w:val="both"/>
      </w:pPr>
      <w:r>
        <w:t>Adicionalmente, EL CONTRATISTA se compromete a denunciar oportunamente ante las autoridades competentes los actos de corrupción o de inconducta funcional de los cuales tuviera conocimiento durante la ejecución del contrato con LA ENTIDAD CONTRATANTE.</w:t>
      </w:r>
    </w:p>
    <w:p w14:paraId="51272BC2" w14:textId="77777777" w:rsidR="006C1E81" w:rsidRDefault="006C1E81" w:rsidP="006C1E81">
      <w:pPr>
        <w:jc w:val="both"/>
      </w:pPr>
      <w:r>
        <w:t xml:space="preserve">Tratándose de una persona jurídica, lo anterior se extiende a sus accionistas, </w:t>
      </w:r>
      <w:proofErr w:type="spellStart"/>
      <w:r>
        <w:t>participacionistas</w:t>
      </w:r>
      <w:proofErr w:type="spellEnd"/>
      <w:r>
        <w:t>,</w:t>
      </w:r>
      <w:r>
        <w:tab/>
        <w:t xml:space="preserve">integrantes de los órganos de administración, apoderados, representantes legales, funcionarios, </w:t>
      </w:r>
      <w:r>
        <w:tab/>
        <w:t xml:space="preserve">asesores o cualquier persona vinculada a la persona jurídica que representa; comprometiéndose a </w:t>
      </w:r>
      <w:r>
        <w:tab/>
        <w:t>informarles sobre los alcances de las obligaciones asumidas en virtud del presente contrato.</w:t>
      </w:r>
    </w:p>
    <w:p w14:paraId="66C68E9C" w14:textId="77777777" w:rsidR="006C1E81" w:rsidRDefault="006C1E81" w:rsidP="006C1E81">
      <w:pPr>
        <w:jc w:val="both"/>
      </w:pPr>
      <w:r>
        <w:t xml:space="preserve">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w:t>
      </w:r>
      <w:r>
        <w:lastRenderedPageBreak/>
        <w:t>marco, el incumplimiento de la presente cláusula conllevará que sea excluido de los Catálogos Electrónicos de Acuerdo Marco. En ningún caso, dichas medidas impiden el inicio de las acciones civiles, penales y administrativas a que hubiera lugar.</w:t>
      </w:r>
    </w:p>
    <w:p w14:paraId="6A59EE68" w14:textId="77777777" w:rsidR="006C1E81" w:rsidRDefault="006C1E81" w:rsidP="006C1E81">
      <w:pPr>
        <w:jc w:val="both"/>
      </w:pPr>
      <w:r>
        <w:t xml:space="preserve">22. SOLUCIÓN DE CONTROVERSIAS </w:t>
      </w:r>
    </w:p>
    <w:p w14:paraId="171BEFAA" w14:textId="77777777" w:rsidR="006C1E81" w:rsidRDefault="006C1E81" w:rsidP="006C1E81">
      <w:pPr>
        <w:jc w:val="both"/>
      </w:pPr>
      <w:r>
        <w:t xml:space="preserve">La solución de controversias será a través Centro de Conciliación designado por las partes. </w:t>
      </w:r>
    </w:p>
    <w:p w14:paraId="25C6051B" w14:textId="77777777" w:rsidR="006C1E81" w:rsidRDefault="006C1E81" w:rsidP="006C1E81">
      <w:pPr>
        <w:jc w:val="both"/>
      </w:pPr>
      <w:r>
        <w:t xml:space="preserve">23. RESOLUCIÓN DE CONTRATO POR INCUMPLIMIENTO </w:t>
      </w:r>
    </w:p>
    <w:p w14:paraId="38BEA710" w14:textId="77777777" w:rsidR="006C1E81" w:rsidRDefault="006C1E81" w:rsidP="006C1E81">
      <w:pPr>
        <w:jc w:val="both"/>
      </w:pPr>
      <w:r>
        <w:t>En el supuesto del liberal b) del numeral 68.1 del artículo 68 de la Ley, la parte afectada por el incumplimiento requiere a la otra parte que ejecute la prestación materia de incumplimiento, bajo apercibimiento de resolver el contrato y se procederá según lo establecido en el artículo 122 del Reglamento de la Ley 32069.</w:t>
      </w:r>
    </w:p>
    <w:p w14:paraId="051BEAE1" w14:textId="77777777" w:rsidR="006C1E81" w:rsidRDefault="006C1E81" w:rsidP="006C1E81">
      <w:pPr>
        <w:jc w:val="both"/>
      </w:pPr>
      <w:r>
        <w:t>24. GESTIÓN DE RIESGOS</w:t>
      </w:r>
    </w:p>
    <w:p w14:paraId="1B0E79F4" w14:textId="77777777" w:rsidR="006C1E81" w:rsidRDefault="006C1E81" w:rsidP="006C1E81">
      <w:pPr>
        <w:jc w:val="both"/>
      </w:pPr>
      <w:r>
        <w:t>La no adquisición de este bien podría causar retrasos en las labores diarias de las diferentes áreas usuarias de la sede central de SEDAPAR.</w:t>
      </w:r>
    </w:p>
    <w:p w14:paraId="662F1E37" w14:textId="77777777" w:rsidR="006C1E81" w:rsidRDefault="006C1E81" w:rsidP="006C1E81">
      <w:pPr>
        <w:jc w:val="both"/>
      </w:pPr>
    </w:p>
    <w:p w14:paraId="280C22EE" w14:textId="26ADA397" w:rsidR="006C1E81" w:rsidRPr="006C1E81" w:rsidRDefault="006C1E81" w:rsidP="006C1E81">
      <w:pPr>
        <w:jc w:val="both"/>
        <w:rPr>
          <w:b/>
          <w:bCs/>
        </w:rPr>
      </w:pPr>
      <w:r w:rsidRPr="006C1E81">
        <w:rPr>
          <w:b/>
          <w:bCs/>
          <w:highlight w:val="yellow"/>
        </w:rPr>
        <w:t>PERFORADOR MEDIANO-------------------------CANTIDAD 27 UNIDADES</w:t>
      </w:r>
    </w:p>
    <w:p w14:paraId="432B0180" w14:textId="77777777" w:rsidR="006C1E81" w:rsidRDefault="006C1E81" w:rsidP="006C1E81">
      <w:pPr>
        <w:jc w:val="both"/>
      </w:pPr>
      <w:r>
        <w:t>CUBSO: 4412161100067558</w:t>
      </w:r>
    </w:p>
    <w:p w14:paraId="63E561D1" w14:textId="4B662A89" w:rsidR="006C1E81" w:rsidRPr="006C1E81" w:rsidRDefault="006C1E81" w:rsidP="006C1E81">
      <w:pPr>
        <w:jc w:val="both"/>
        <w:rPr>
          <w:highlight w:val="yellow"/>
        </w:rPr>
      </w:pPr>
      <w:r w:rsidRPr="006C1E81">
        <w:rPr>
          <w:highlight w:val="yellow"/>
        </w:rPr>
        <w:t>ESPECIFICACIONES TECNICAS:</w:t>
      </w:r>
    </w:p>
    <w:p w14:paraId="71E6725A" w14:textId="77777777" w:rsidR="006C1E81" w:rsidRPr="006C1E81" w:rsidRDefault="006C1E81" w:rsidP="006C1E81">
      <w:pPr>
        <w:jc w:val="both"/>
        <w:rPr>
          <w:highlight w:val="yellow"/>
        </w:rPr>
      </w:pPr>
      <w:r w:rsidRPr="006C1E81">
        <w:rPr>
          <w:highlight w:val="yellow"/>
        </w:rPr>
        <w:t>•</w:t>
      </w:r>
      <w:r w:rsidRPr="006C1E81">
        <w:rPr>
          <w:highlight w:val="yellow"/>
        </w:rPr>
        <w:tab/>
        <w:t>Capacidad de perforación: De 20 a 30 hojas de papel de 75 g / 80 g por vez.</w:t>
      </w:r>
    </w:p>
    <w:p w14:paraId="30BDE853" w14:textId="77777777" w:rsidR="006C1E81" w:rsidRPr="006C1E81" w:rsidRDefault="006C1E81" w:rsidP="006C1E81">
      <w:pPr>
        <w:jc w:val="both"/>
        <w:rPr>
          <w:highlight w:val="yellow"/>
        </w:rPr>
      </w:pPr>
      <w:r w:rsidRPr="006C1E81">
        <w:rPr>
          <w:highlight w:val="yellow"/>
        </w:rPr>
        <w:t>•</w:t>
      </w:r>
      <w:r w:rsidRPr="006C1E81">
        <w:rPr>
          <w:highlight w:val="yellow"/>
        </w:rPr>
        <w:tab/>
        <w:t>Número de agujeros: 2 perforaciones estándar.</w:t>
      </w:r>
    </w:p>
    <w:p w14:paraId="008674EC" w14:textId="77777777" w:rsidR="006C1E81" w:rsidRPr="006C1E81" w:rsidRDefault="006C1E81" w:rsidP="006C1E81">
      <w:pPr>
        <w:jc w:val="both"/>
        <w:rPr>
          <w:highlight w:val="yellow"/>
        </w:rPr>
      </w:pPr>
      <w:r w:rsidRPr="006C1E81">
        <w:rPr>
          <w:highlight w:val="yellow"/>
        </w:rPr>
        <w:t>•</w:t>
      </w:r>
      <w:r w:rsidRPr="006C1E81">
        <w:rPr>
          <w:highlight w:val="yellow"/>
        </w:rPr>
        <w:tab/>
        <w:t>Distancia entre agujeros: 8 cm (80 mm) entre centros.</w:t>
      </w:r>
    </w:p>
    <w:p w14:paraId="41404120" w14:textId="77777777" w:rsidR="006C1E81" w:rsidRPr="006C1E81" w:rsidRDefault="006C1E81" w:rsidP="006C1E81">
      <w:pPr>
        <w:jc w:val="both"/>
        <w:rPr>
          <w:highlight w:val="yellow"/>
        </w:rPr>
      </w:pPr>
      <w:r w:rsidRPr="006C1E81">
        <w:rPr>
          <w:highlight w:val="yellow"/>
        </w:rPr>
        <w:t>•</w:t>
      </w:r>
      <w:r w:rsidRPr="006C1E81">
        <w:rPr>
          <w:highlight w:val="yellow"/>
        </w:rPr>
        <w:tab/>
        <w:t xml:space="preserve">Diámetro del agujero: 5.5 mm a 6 </w:t>
      </w:r>
      <w:proofErr w:type="spellStart"/>
      <w:r w:rsidRPr="006C1E81">
        <w:rPr>
          <w:highlight w:val="yellow"/>
        </w:rPr>
        <w:t>mm.</w:t>
      </w:r>
      <w:proofErr w:type="spellEnd"/>
    </w:p>
    <w:p w14:paraId="590F35BA" w14:textId="77777777" w:rsidR="006C1E81" w:rsidRPr="006C1E81" w:rsidRDefault="006C1E81" w:rsidP="006C1E81">
      <w:pPr>
        <w:jc w:val="both"/>
        <w:rPr>
          <w:highlight w:val="yellow"/>
        </w:rPr>
      </w:pPr>
      <w:r w:rsidRPr="006C1E81">
        <w:rPr>
          <w:highlight w:val="yellow"/>
        </w:rPr>
        <w:t>•</w:t>
      </w:r>
      <w:r w:rsidRPr="006C1E81">
        <w:rPr>
          <w:highlight w:val="yellow"/>
        </w:rPr>
        <w:tab/>
        <w:t xml:space="preserve">Material: Cuerpo y palanca de metal con base o protector de plástico/goma. </w:t>
      </w:r>
    </w:p>
    <w:p w14:paraId="378D025A" w14:textId="77777777" w:rsidR="006C1E81" w:rsidRPr="006C1E81" w:rsidRDefault="006C1E81" w:rsidP="006C1E81">
      <w:pPr>
        <w:jc w:val="both"/>
        <w:rPr>
          <w:highlight w:val="yellow"/>
        </w:rPr>
      </w:pPr>
      <w:r w:rsidRPr="006C1E81">
        <w:rPr>
          <w:highlight w:val="yellow"/>
        </w:rPr>
        <w:t>•</w:t>
      </w:r>
      <w:r w:rsidRPr="006C1E81">
        <w:rPr>
          <w:highlight w:val="yellow"/>
        </w:rPr>
        <w:tab/>
        <w:t>Guía o regla ajustable: Lengüeta lateral para alinear distintos tamaños de papel (A4, carta, oficio).</w:t>
      </w:r>
    </w:p>
    <w:p w14:paraId="4835E318" w14:textId="4CCC7050" w:rsidR="006C1E81" w:rsidRDefault="006C1E81" w:rsidP="006C1E81">
      <w:pPr>
        <w:jc w:val="both"/>
      </w:pPr>
      <w:r w:rsidRPr="006C1E81">
        <w:rPr>
          <w:highlight w:val="yellow"/>
        </w:rPr>
        <w:t>•</w:t>
      </w:r>
      <w:r w:rsidRPr="006C1E81">
        <w:rPr>
          <w:highlight w:val="yellow"/>
        </w:rPr>
        <w:tab/>
        <w:t>Depósito de residuos: Bandeja inferior removible para vaciar los recortes de papel.</w:t>
      </w:r>
    </w:p>
    <w:p w14:paraId="53A22F27" w14:textId="77777777" w:rsidR="00E34E0E" w:rsidRDefault="00E34E0E" w:rsidP="006C1E81">
      <w:pPr>
        <w:jc w:val="both"/>
      </w:pPr>
    </w:p>
    <w:p w14:paraId="2FEEA828" w14:textId="2DC43690" w:rsidR="00E34E0E" w:rsidRDefault="00E34E0E" w:rsidP="006C1E81">
      <w:pPr>
        <w:jc w:val="both"/>
      </w:pPr>
      <w:r>
        <w:rPr>
          <w:noProof/>
        </w:rPr>
        <w:lastRenderedPageBreak/>
        <w:drawing>
          <wp:inline distT="0" distB="0" distL="0" distR="0" wp14:anchorId="40562576" wp14:editId="1375EAFA">
            <wp:extent cx="2664460" cy="2036445"/>
            <wp:effectExtent l="0" t="0" r="2540" b="1905"/>
            <wp:docPr id="14282114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64460" cy="2036445"/>
                    </a:xfrm>
                    <a:prstGeom prst="rect">
                      <a:avLst/>
                    </a:prstGeom>
                    <a:noFill/>
                    <a:ln>
                      <a:noFill/>
                    </a:ln>
                  </pic:spPr>
                </pic:pic>
              </a:graphicData>
            </a:graphic>
          </wp:inline>
        </w:drawing>
      </w:r>
    </w:p>
    <w:p w14:paraId="0B0C68AD" w14:textId="77777777" w:rsidR="00E34E0E" w:rsidRDefault="00E34E0E" w:rsidP="006C1E81">
      <w:pPr>
        <w:jc w:val="both"/>
      </w:pPr>
    </w:p>
    <w:p w14:paraId="2435A97F" w14:textId="756A5950" w:rsidR="00E34E0E" w:rsidRDefault="00E34E0E" w:rsidP="006C1E81">
      <w:pPr>
        <w:jc w:val="both"/>
      </w:pPr>
      <w:r>
        <w:rPr>
          <w:noProof/>
        </w:rPr>
        <w:drawing>
          <wp:inline distT="0" distB="0" distL="0" distR="0" wp14:anchorId="0619C96B" wp14:editId="234050D9">
            <wp:extent cx="3248025" cy="2698115"/>
            <wp:effectExtent l="0" t="0" r="9525" b="6985"/>
            <wp:docPr id="12117686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48025" cy="2698115"/>
                    </a:xfrm>
                    <a:prstGeom prst="rect">
                      <a:avLst/>
                    </a:prstGeom>
                    <a:noFill/>
                    <a:ln>
                      <a:noFill/>
                    </a:ln>
                  </pic:spPr>
                </pic:pic>
              </a:graphicData>
            </a:graphic>
          </wp:inline>
        </w:drawing>
      </w:r>
    </w:p>
    <w:sectPr w:rsidR="00E34E0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E81"/>
    <w:rsid w:val="002465F8"/>
    <w:rsid w:val="006C1E81"/>
    <w:rsid w:val="0099056A"/>
    <w:rsid w:val="00B109BD"/>
    <w:rsid w:val="00E34E0E"/>
    <w:rsid w:val="00FD13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70748"/>
  <w15:chartTrackingRefBased/>
  <w15:docId w15:val="{08196B48-9AA4-4E00-A90C-96DC260C9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C1E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C1E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C1E8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C1E8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C1E8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C1E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C1E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C1E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C1E8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1E8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C1E8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C1E8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C1E8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C1E8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C1E8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C1E8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C1E8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C1E81"/>
    <w:rPr>
      <w:rFonts w:eastAsiaTheme="majorEastAsia" w:cstheme="majorBidi"/>
      <w:color w:val="272727" w:themeColor="text1" w:themeTint="D8"/>
    </w:rPr>
  </w:style>
  <w:style w:type="paragraph" w:styleId="Ttulo">
    <w:name w:val="Title"/>
    <w:basedOn w:val="Normal"/>
    <w:next w:val="Normal"/>
    <w:link w:val="TtuloCar"/>
    <w:uiPriority w:val="10"/>
    <w:qFormat/>
    <w:rsid w:val="006C1E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C1E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C1E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C1E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C1E81"/>
    <w:pPr>
      <w:spacing w:before="160"/>
      <w:jc w:val="center"/>
    </w:pPr>
    <w:rPr>
      <w:i/>
      <w:iCs/>
      <w:color w:val="404040" w:themeColor="text1" w:themeTint="BF"/>
    </w:rPr>
  </w:style>
  <w:style w:type="character" w:customStyle="1" w:styleId="CitaCar">
    <w:name w:val="Cita Car"/>
    <w:basedOn w:val="Fuentedeprrafopredeter"/>
    <w:link w:val="Cita"/>
    <w:uiPriority w:val="29"/>
    <w:rsid w:val="006C1E81"/>
    <w:rPr>
      <w:i/>
      <w:iCs/>
      <w:color w:val="404040" w:themeColor="text1" w:themeTint="BF"/>
    </w:rPr>
  </w:style>
  <w:style w:type="paragraph" w:styleId="Prrafodelista">
    <w:name w:val="List Paragraph"/>
    <w:basedOn w:val="Normal"/>
    <w:uiPriority w:val="34"/>
    <w:qFormat/>
    <w:rsid w:val="006C1E81"/>
    <w:pPr>
      <w:ind w:left="720"/>
      <w:contextualSpacing/>
    </w:pPr>
  </w:style>
  <w:style w:type="character" w:styleId="nfasisintenso">
    <w:name w:val="Intense Emphasis"/>
    <w:basedOn w:val="Fuentedeprrafopredeter"/>
    <w:uiPriority w:val="21"/>
    <w:qFormat/>
    <w:rsid w:val="006C1E81"/>
    <w:rPr>
      <w:i/>
      <w:iCs/>
      <w:color w:val="0F4761" w:themeColor="accent1" w:themeShade="BF"/>
    </w:rPr>
  </w:style>
  <w:style w:type="paragraph" w:styleId="Citadestacada">
    <w:name w:val="Intense Quote"/>
    <w:basedOn w:val="Normal"/>
    <w:next w:val="Normal"/>
    <w:link w:val="CitadestacadaCar"/>
    <w:uiPriority w:val="30"/>
    <w:qFormat/>
    <w:rsid w:val="006C1E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C1E81"/>
    <w:rPr>
      <w:i/>
      <w:iCs/>
      <w:color w:val="0F4761" w:themeColor="accent1" w:themeShade="BF"/>
    </w:rPr>
  </w:style>
  <w:style w:type="character" w:styleId="Referenciaintensa">
    <w:name w:val="Intense Reference"/>
    <w:basedOn w:val="Fuentedeprrafopredeter"/>
    <w:uiPriority w:val="32"/>
    <w:qFormat/>
    <w:rsid w:val="006C1E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1372</Words>
  <Characters>7552</Characters>
  <Application>Microsoft Office Word</Application>
  <DocSecurity>0</DocSecurity>
  <Lines>62</Lines>
  <Paragraphs>17</Paragraphs>
  <ScaleCrop>false</ScaleCrop>
  <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Francisco Paye Chuquicaña</dc:creator>
  <cp:keywords/>
  <dc:description/>
  <cp:lastModifiedBy>Walter Francisco Paye Chuquicaña</cp:lastModifiedBy>
  <cp:revision>2</cp:revision>
  <dcterms:created xsi:type="dcterms:W3CDTF">2026-07-20T19:17:00Z</dcterms:created>
  <dcterms:modified xsi:type="dcterms:W3CDTF">2026-07-20T19:33:00Z</dcterms:modified>
</cp:coreProperties>
</file>