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ANEXO N°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968B328"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192B13" w:rsidRPr="00192B13">
        <w:rPr>
          <w:rFonts w:ascii="Arial" w:hAnsi="Arial" w:cs="Arial"/>
          <w:b/>
          <w:bCs/>
          <w:color w:val="auto"/>
          <w:sz w:val="20"/>
        </w:rPr>
        <w:t>ADQUISICIÓN DE MATERIALES DE PUBLICIDAD PARA EL COMITÉ DE ADMISIÓN 2026</w:t>
      </w:r>
      <w:r w:rsidR="00192B13">
        <w:rPr>
          <w:rFonts w:ascii="Arial" w:hAnsi="Arial" w:cs="Arial"/>
          <w:b/>
          <w:bCs/>
          <w:color w:val="auto"/>
          <w:sz w:val="20"/>
        </w:rPr>
        <w:t xml:space="preserve"> – REGLA CON LOGOTIPO</w:t>
      </w:r>
      <w:r w:rsidR="00353A8C"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TotalTime>
  <Pages>2</Pages>
  <Words>204</Words>
  <Characters>1123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3</cp:revision>
  <cp:lastPrinted>2016-08-18T05:53:00Z</cp:lastPrinted>
  <dcterms:created xsi:type="dcterms:W3CDTF">2026-07-22T21:13:00Z</dcterms:created>
  <dcterms:modified xsi:type="dcterms:W3CDTF">2026-07-22T21:29:00Z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