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A692F7" w14:textId="77777777" w:rsidR="00BB1B37" w:rsidRPr="00BB1B37" w:rsidRDefault="00BB1B37" w:rsidP="00BB1B37">
      <w:pPr>
        <w:spacing w:line="276" w:lineRule="auto"/>
        <w:jc w:val="center"/>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ESPECIFICACIONES TÉCNICAS PARA LA ADQUISICIÓN DEL PRODUCTOS FARMACÉUTICOS ESCENCIALES</w:t>
      </w:r>
    </w:p>
    <w:tbl>
      <w:tblPr>
        <w:tblStyle w:val="TableGrid"/>
        <w:tblW w:w="9377" w:type="dxa"/>
        <w:tblInd w:w="-24" w:type="dxa"/>
        <w:tblCellMar>
          <w:left w:w="110" w:type="dxa"/>
          <w:right w:w="107" w:type="dxa"/>
        </w:tblCellMar>
        <w:tblLook w:val="04A0" w:firstRow="1" w:lastRow="0" w:firstColumn="1" w:lastColumn="0" w:noHBand="0" w:noVBand="1"/>
      </w:tblPr>
      <w:tblGrid>
        <w:gridCol w:w="3282"/>
        <w:gridCol w:w="6095"/>
      </w:tblGrid>
      <w:tr w:rsidR="00BB1B37" w:rsidRPr="00BB1B37" w14:paraId="0589233B" w14:textId="77777777" w:rsidTr="005357F8">
        <w:trPr>
          <w:trHeight w:val="350"/>
        </w:trPr>
        <w:tc>
          <w:tcPr>
            <w:tcW w:w="3282" w:type="dxa"/>
            <w:tcBorders>
              <w:top w:val="single" w:sz="2" w:space="0" w:color="000000"/>
              <w:left w:val="single" w:sz="2" w:space="0" w:color="000000"/>
              <w:bottom w:val="single" w:sz="2" w:space="0" w:color="000000"/>
              <w:right w:val="single" w:sz="2" w:space="0" w:color="000000"/>
            </w:tcBorders>
            <w:vAlign w:val="center"/>
          </w:tcPr>
          <w:p w14:paraId="1860CA81" w14:textId="23AEE6DB" w:rsidR="00BB1B37" w:rsidRPr="00BB1B37" w:rsidRDefault="00BB1B37" w:rsidP="00BB1B37">
            <w:pPr>
              <w:spacing w:after="33" w:line="226" w:lineRule="auto"/>
              <w:ind w:left="275" w:right="10" w:firstLine="5"/>
              <w:jc w:val="both"/>
              <w:rPr>
                <w:rFonts w:ascii="Times New Roman" w:eastAsia="Calibri" w:hAnsi="Times New Roman" w:cs="Times New Roman"/>
                <w:bCs/>
                <w:color w:val="000000"/>
                <w:kern w:val="0"/>
                <w:sz w:val="20"/>
                <w:szCs w:val="20"/>
                <w:lang w:val="en-US"/>
                <w14:ligatures w14:val="none"/>
              </w:rPr>
            </w:pPr>
            <w:r w:rsidRPr="00BB1B37">
              <w:rPr>
                <w:rFonts w:ascii="Times New Roman" w:eastAsia="Calibri" w:hAnsi="Times New Roman" w:cs="Times New Roman"/>
                <w:bCs/>
                <w:color w:val="000000"/>
                <w:kern w:val="0"/>
                <w:sz w:val="20"/>
                <w:szCs w:val="20"/>
                <w:lang w:val="en-US"/>
                <w14:ligatures w14:val="none"/>
              </w:rPr>
              <w:t>Area Usuaria</w:t>
            </w:r>
          </w:p>
        </w:tc>
        <w:tc>
          <w:tcPr>
            <w:tcW w:w="6095" w:type="dxa"/>
            <w:tcBorders>
              <w:top w:val="single" w:sz="2" w:space="0" w:color="000000"/>
              <w:left w:val="single" w:sz="2" w:space="0" w:color="000000"/>
              <w:bottom w:val="single" w:sz="2" w:space="0" w:color="000000"/>
              <w:right w:val="single" w:sz="2" w:space="0" w:color="000000"/>
            </w:tcBorders>
            <w:vAlign w:val="center"/>
          </w:tcPr>
          <w:p w14:paraId="544566E4" w14:textId="77777777" w:rsidR="00BB1B37" w:rsidRPr="00BB1B37" w:rsidRDefault="00BB1B37" w:rsidP="00BB1B37">
            <w:pPr>
              <w:spacing w:after="33" w:line="226" w:lineRule="auto"/>
              <w:ind w:left="28" w:right="10"/>
              <w:jc w:val="both"/>
              <w:rPr>
                <w:rFonts w:ascii="Times New Roman" w:eastAsia="Calibri" w:hAnsi="Times New Roman" w:cs="Times New Roman"/>
                <w:bCs/>
                <w:color w:val="000000"/>
                <w:kern w:val="0"/>
                <w:sz w:val="20"/>
                <w:szCs w:val="20"/>
                <w:lang w:val="en-US"/>
                <w14:ligatures w14:val="none"/>
              </w:rPr>
            </w:pPr>
            <w:r w:rsidRPr="00BB1B37">
              <w:rPr>
                <w:rFonts w:ascii="Times New Roman" w:eastAsia="Calibri" w:hAnsi="Times New Roman" w:cs="Times New Roman"/>
                <w:bCs/>
                <w:color w:val="000000"/>
                <w:kern w:val="0"/>
                <w:sz w:val="20"/>
                <w:szCs w:val="20"/>
                <w:lang w:val="en-US"/>
                <w14:ligatures w14:val="none"/>
              </w:rPr>
              <w:t>Servicio de Farmacia – Hospital Regional Cusco</w:t>
            </w:r>
          </w:p>
        </w:tc>
      </w:tr>
      <w:tr w:rsidR="00BB1B37" w:rsidRPr="00BB1B37" w14:paraId="53BA4D7C" w14:textId="77777777" w:rsidTr="005357F8">
        <w:trPr>
          <w:trHeight w:val="429"/>
        </w:trPr>
        <w:tc>
          <w:tcPr>
            <w:tcW w:w="3282" w:type="dxa"/>
            <w:tcBorders>
              <w:top w:val="single" w:sz="2" w:space="0" w:color="000000"/>
              <w:left w:val="single" w:sz="2" w:space="0" w:color="000000"/>
              <w:bottom w:val="single" w:sz="2" w:space="0" w:color="000000"/>
              <w:right w:val="single" w:sz="2" w:space="0" w:color="000000"/>
            </w:tcBorders>
            <w:vAlign w:val="center"/>
          </w:tcPr>
          <w:p w14:paraId="377F0598" w14:textId="77777777" w:rsidR="00BB1B37" w:rsidRPr="00BB1B37" w:rsidRDefault="00BB1B37" w:rsidP="00BB1B37">
            <w:pPr>
              <w:spacing w:after="33" w:line="226" w:lineRule="auto"/>
              <w:ind w:left="275" w:right="10" w:firstLine="5"/>
              <w:jc w:val="both"/>
              <w:rPr>
                <w:rFonts w:ascii="Times New Roman" w:eastAsia="Calibri" w:hAnsi="Times New Roman" w:cs="Times New Roman"/>
                <w:bCs/>
                <w:color w:val="000000"/>
                <w:kern w:val="0"/>
                <w:sz w:val="20"/>
                <w:szCs w:val="20"/>
                <w:lang w:val="en-US"/>
                <w14:ligatures w14:val="none"/>
              </w:rPr>
            </w:pPr>
            <w:r w:rsidRPr="00BB1B37">
              <w:rPr>
                <w:rFonts w:ascii="Times New Roman" w:eastAsia="Calibri" w:hAnsi="Times New Roman" w:cs="Times New Roman"/>
                <w:bCs/>
                <w:color w:val="000000"/>
                <w:kern w:val="0"/>
                <w:sz w:val="20"/>
                <w:szCs w:val="20"/>
                <w:lang w:val="en-US"/>
                <w14:ligatures w14:val="none"/>
              </w:rPr>
              <w:t>Actividad del POI</w:t>
            </w:r>
          </w:p>
        </w:tc>
        <w:tc>
          <w:tcPr>
            <w:tcW w:w="6095" w:type="dxa"/>
            <w:tcBorders>
              <w:top w:val="single" w:sz="2" w:space="0" w:color="000000"/>
              <w:left w:val="single" w:sz="2" w:space="0" w:color="000000"/>
              <w:bottom w:val="single" w:sz="2" w:space="0" w:color="000000"/>
              <w:right w:val="single" w:sz="2" w:space="0" w:color="000000"/>
            </w:tcBorders>
            <w:vAlign w:val="center"/>
          </w:tcPr>
          <w:p w14:paraId="1F06676C" w14:textId="77777777" w:rsidR="00BB1B37" w:rsidRPr="00BB1B37" w:rsidRDefault="00BB1B37" w:rsidP="00BB1B37">
            <w:pPr>
              <w:spacing w:after="33" w:line="226" w:lineRule="auto"/>
              <w:ind w:left="28" w:right="10"/>
              <w:jc w:val="both"/>
              <w:rPr>
                <w:rFonts w:ascii="Times New Roman" w:eastAsia="Calibri" w:hAnsi="Times New Roman" w:cs="Times New Roman"/>
                <w:bCs/>
                <w:color w:val="000000"/>
                <w:kern w:val="0"/>
                <w:sz w:val="20"/>
                <w:szCs w:val="20"/>
                <w:lang w:val="en-US"/>
                <w14:ligatures w14:val="none"/>
              </w:rPr>
            </w:pPr>
            <w:r w:rsidRPr="00BB1B37">
              <w:rPr>
                <w:rFonts w:ascii="Times New Roman" w:eastAsia="Calibri" w:hAnsi="Times New Roman" w:cs="Times New Roman"/>
                <w:bCs/>
                <w:color w:val="000000"/>
                <w:kern w:val="0"/>
                <w:sz w:val="20"/>
                <w:szCs w:val="20"/>
                <w:lang w:val="en-US"/>
                <w14:ligatures w14:val="none"/>
              </w:rPr>
              <w:t>Gestión de Productos Farmacéuticos y Dispositivos Médicos – Proveer de Medicamentos a la población</w:t>
            </w:r>
          </w:p>
        </w:tc>
      </w:tr>
      <w:tr w:rsidR="00BB1B37" w:rsidRPr="00BB1B37" w14:paraId="10A3FF8D" w14:textId="77777777" w:rsidTr="005357F8">
        <w:trPr>
          <w:trHeight w:val="522"/>
        </w:trPr>
        <w:tc>
          <w:tcPr>
            <w:tcW w:w="3282" w:type="dxa"/>
            <w:tcBorders>
              <w:top w:val="single" w:sz="2" w:space="0" w:color="000000"/>
              <w:left w:val="single" w:sz="2" w:space="0" w:color="000000"/>
              <w:bottom w:val="single" w:sz="2" w:space="0" w:color="000000"/>
              <w:right w:val="single" w:sz="2" w:space="0" w:color="000000"/>
            </w:tcBorders>
            <w:vAlign w:val="center"/>
          </w:tcPr>
          <w:p w14:paraId="2D3B712E" w14:textId="77777777" w:rsidR="00BB1B37" w:rsidRPr="00BB1B37" w:rsidRDefault="00BB1B37" w:rsidP="00BB1B37">
            <w:pPr>
              <w:spacing w:after="33" w:line="226" w:lineRule="auto"/>
              <w:ind w:left="275" w:right="10" w:firstLine="5"/>
              <w:jc w:val="both"/>
              <w:rPr>
                <w:rFonts w:ascii="Times New Roman" w:eastAsia="Calibri" w:hAnsi="Times New Roman" w:cs="Times New Roman"/>
                <w:bCs/>
                <w:color w:val="000000"/>
                <w:kern w:val="0"/>
                <w:sz w:val="20"/>
                <w:szCs w:val="20"/>
                <w:lang w:val="en-US"/>
                <w14:ligatures w14:val="none"/>
              </w:rPr>
            </w:pPr>
            <w:r w:rsidRPr="00BB1B37">
              <w:rPr>
                <w:rFonts w:ascii="Times New Roman" w:eastAsia="Calibri" w:hAnsi="Times New Roman" w:cs="Times New Roman"/>
                <w:bCs/>
                <w:color w:val="000000"/>
                <w:kern w:val="0"/>
                <w:sz w:val="20"/>
                <w:szCs w:val="20"/>
                <w:lang w:val="en-US"/>
                <w14:ligatures w14:val="none"/>
              </w:rPr>
              <w:t>Denominación de la Contratación</w:t>
            </w:r>
          </w:p>
        </w:tc>
        <w:tc>
          <w:tcPr>
            <w:tcW w:w="6095" w:type="dxa"/>
            <w:tcBorders>
              <w:top w:val="single" w:sz="2" w:space="0" w:color="000000"/>
              <w:left w:val="single" w:sz="2" w:space="0" w:color="000000"/>
              <w:bottom w:val="single" w:sz="2" w:space="0" w:color="000000"/>
              <w:right w:val="single" w:sz="2" w:space="0" w:color="000000"/>
            </w:tcBorders>
            <w:vAlign w:val="center"/>
          </w:tcPr>
          <w:p w14:paraId="5C71B119" w14:textId="157F47A3" w:rsidR="00BB1B37" w:rsidRPr="00BB1B37" w:rsidRDefault="000F15D7" w:rsidP="00BB1B37">
            <w:pPr>
              <w:spacing w:after="33" w:line="226" w:lineRule="auto"/>
              <w:ind w:left="28" w:right="10"/>
              <w:jc w:val="both"/>
              <w:rPr>
                <w:rFonts w:ascii="Times New Roman" w:eastAsia="Calibri" w:hAnsi="Times New Roman" w:cs="Times New Roman"/>
                <w:bCs/>
                <w:color w:val="000000"/>
                <w:kern w:val="0"/>
                <w:sz w:val="20"/>
                <w:szCs w:val="20"/>
                <w:lang w:val="en-US"/>
                <w14:ligatures w14:val="none"/>
              </w:rPr>
            </w:pPr>
            <w:r w:rsidRPr="00BB1B37">
              <w:rPr>
                <w:rFonts w:ascii="Times New Roman" w:eastAsia="Calibri" w:hAnsi="Times New Roman" w:cs="Times New Roman"/>
                <w:bCs/>
                <w:color w:val="000000"/>
                <w:kern w:val="0"/>
                <w:sz w:val="20"/>
                <w:szCs w:val="20"/>
                <w:lang w:val="en-US"/>
                <w14:ligatures w14:val="none"/>
              </w:rPr>
              <w:t>Adquisicion</w:t>
            </w:r>
            <w:r w:rsidR="00BB1B37" w:rsidRPr="00BB1B37">
              <w:rPr>
                <w:rFonts w:ascii="Times New Roman" w:eastAsia="Calibri" w:hAnsi="Times New Roman" w:cs="Times New Roman"/>
                <w:bCs/>
                <w:color w:val="000000"/>
                <w:kern w:val="0"/>
                <w:sz w:val="20"/>
                <w:szCs w:val="20"/>
                <w:lang w:val="en-US"/>
                <w14:ligatures w14:val="none"/>
              </w:rPr>
              <w:t xml:space="preserve"> </w:t>
            </w:r>
            <w:r w:rsidR="003B083D">
              <w:rPr>
                <w:rFonts w:ascii="Times New Roman" w:eastAsia="Calibri" w:hAnsi="Times New Roman" w:cs="Times New Roman"/>
                <w:bCs/>
                <w:color w:val="000000"/>
                <w:kern w:val="0"/>
                <w:sz w:val="20"/>
                <w:szCs w:val="20"/>
                <w:lang w:val="en-US"/>
                <w14:ligatures w14:val="none"/>
              </w:rPr>
              <w:t xml:space="preserve">INMUNOGLOBULINA HUMANA NORMAL 5G INY 100 ML </w:t>
            </w:r>
            <w:r w:rsidR="00BB1B37" w:rsidRPr="00BB1B37">
              <w:rPr>
                <w:rFonts w:ascii="Times New Roman" w:eastAsia="Calibri" w:hAnsi="Times New Roman" w:cs="Times New Roman"/>
                <w:bCs/>
                <w:color w:val="000000"/>
                <w:kern w:val="0"/>
                <w:sz w:val="20"/>
                <w:szCs w:val="20"/>
                <w:lang w:val="en-US"/>
                <w14:ligatures w14:val="none"/>
              </w:rPr>
              <w:t>Servicio de Farmacia – Hospital Regional Cusco</w:t>
            </w:r>
          </w:p>
        </w:tc>
      </w:tr>
    </w:tbl>
    <w:p w14:paraId="7E8F742C" w14:textId="77777777" w:rsidR="00BB1B37" w:rsidRPr="00BB1B37" w:rsidRDefault="00BB1B37" w:rsidP="00BB1B37">
      <w:pPr>
        <w:spacing w:line="276" w:lineRule="auto"/>
        <w:jc w:val="both"/>
        <w:rPr>
          <w:rFonts w:ascii="Times New Roman" w:eastAsia="Calibri" w:hAnsi="Times New Roman" w:cs="Times New Roman"/>
          <w:bCs/>
          <w:kern w:val="0"/>
          <w:sz w:val="20"/>
          <w:szCs w:val="20"/>
          <w:lang w:val="es-ES"/>
          <w14:ligatures w14:val="none"/>
        </w:rPr>
      </w:pPr>
    </w:p>
    <w:p w14:paraId="6068C5C7" w14:textId="77777777" w:rsidR="00BB1B37" w:rsidRPr="00BB1B37" w:rsidRDefault="00BB1B37" w:rsidP="00BB1B37">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1.</w:t>
      </w:r>
      <w:r w:rsidRPr="00BB1B37">
        <w:rPr>
          <w:rFonts w:ascii="Times New Roman" w:eastAsia="Calibri" w:hAnsi="Times New Roman" w:cs="Times New Roman"/>
          <w:b/>
          <w:kern w:val="0"/>
          <w:sz w:val="20"/>
          <w:szCs w:val="20"/>
          <w:lang w:val="es-ES"/>
          <w14:ligatures w14:val="none"/>
        </w:rPr>
        <w:tab/>
        <w:t>Finalidad Pública de la Contratación.</w:t>
      </w:r>
    </w:p>
    <w:p w14:paraId="2E783EA2" w14:textId="77777777" w:rsidR="00BB1B37" w:rsidRPr="00BB1B37" w:rsidRDefault="00BB1B37" w:rsidP="00BB1B37">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El presente requerimiento tiene por finalidad adquirir productos farmacéuticos destinados a conservar, mantener, recuperar y rehabilitar la salud de las personas que reciben prestaciones de salud en el Hospital Regional Cusco</w:t>
      </w:r>
    </w:p>
    <w:p w14:paraId="56079070" w14:textId="77777777" w:rsidR="00BB1B37" w:rsidRPr="00BB1B37" w:rsidRDefault="00BB1B37" w:rsidP="00BB1B37">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2.</w:t>
      </w:r>
      <w:r w:rsidRPr="00BB1B37">
        <w:rPr>
          <w:rFonts w:ascii="Times New Roman" w:eastAsia="Calibri" w:hAnsi="Times New Roman" w:cs="Times New Roman"/>
          <w:b/>
          <w:kern w:val="0"/>
          <w:sz w:val="20"/>
          <w:szCs w:val="20"/>
          <w:lang w:val="es-ES"/>
          <w14:ligatures w14:val="none"/>
        </w:rPr>
        <w:tab/>
        <w:t>Antecedentes.</w:t>
      </w:r>
    </w:p>
    <w:p w14:paraId="7B3CEC61" w14:textId="77777777" w:rsidR="00BB1B37" w:rsidRPr="00BB1B37" w:rsidRDefault="00BB1B37" w:rsidP="00BB1B37">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El Hospital Regional del Cusco mediante el Servicio de Farmacia tiene por finalidad modernizar, optimizar y garantizar los procesos necesarios para el abastecimiento de los recursos estratégicos en salud, permitiendo que los mismos estén disponibles y sean asequibles a la población</w:t>
      </w:r>
    </w:p>
    <w:p w14:paraId="6B454151" w14:textId="77777777" w:rsidR="00BB1B37" w:rsidRPr="00BB1B37" w:rsidRDefault="00BB1B37" w:rsidP="00BB1B37">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3.</w:t>
      </w:r>
      <w:r w:rsidRPr="00BB1B37">
        <w:rPr>
          <w:rFonts w:ascii="Times New Roman" w:eastAsia="Calibri" w:hAnsi="Times New Roman" w:cs="Times New Roman"/>
          <w:b/>
          <w:kern w:val="0"/>
          <w:sz w:val="20"/>
          <w:szCs w:val="20"/>
          <w:lang w:val="es-ES"/>
          <w14:ligatures w14:val="none"/>
        </w:rPr>
        <w:tab/>
        <w:t>Objeto de la Contratación.</w:t>
      </w:r>
    </w:p>
    <w:p w14:paraId="5AE7B8D6" w14:textId="77777777" w:rsidR="00BB1B37" w:rsidRPr="00BB1B37" w:rsidRDefault="00BB1B37" w:rsidP="00BB1B37">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3.1 Objetivo General</w:t>
      </w:r>
    </w:p>
    <w:p w14:paraId="06AABFB0" w14:textId="77777777" w:rsidR="00BB1B37" w:rsidRPr="00BB1B37" w:rsidRDefault="00BB1B37" w:rsidP="00BB1B37">
      <w:pPr>
        <w:numPr>
          <w:ilvl w:val="0"/>
          <w:numId w:val="1"/>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color w:val="000000"/>
          <w:sz w:val="20"/>
          <w:szCs w:val="20"/>
          <w:lang w:eastAsia="es-PE"/>
        </w:rPr>
        <w:t>Adquisición del Producto Farmacéuticos Escenciales para el Servicio de Farmacia – Hospital Regional Cusco</w:t>
      </w:r>
      <w:r w:rsidRPr="00BB1B37">
        <w:rPr>
          <w:rFonts w:ascii="Times New Roman" w:eastAsia="Times New Roman" w:hAnsi="Times New Roman" w:cs="Times New Roman"/>
          <w:bCs/>
          <w:kern w:val="0"/>
          <w:sz w:val="20"/>
          <w:szCs w:val="20"/>
          <w:lang w:val="es-ES" w:eastAsia="es-ES"/>
          <w14:ligatures w14:val="none"/>
        </w:rPr>
        <w:t xml:space="preserve"> </w:t>
      </w:r>
    </w:p>
    <w:p w14:paraId="5F888386" w14:textId="77777777" w:rsidR="00BB1B37" w:rsidRPr="00BB1B37" w:rsidRDefault="00BB1B37" w:rsidP="00BB1B37">
      <w:pPr>
        <w:spacing w:after="0" w:line="276" w:lineRule="auto"/>
        <w:ind w:left="720"/>
        <w:contextualSpacing/>
        <w:jc w:val="both"/>
        <w:rPr>
          <w:rFonts w:ascii="Times New Roman" w:eastAsia="Times New Roman" w:hAnsi="Times New Roman" w:cs="Times New Roman"/>
          <w:b/>
          <w:kern w:val="0"/>
          <w:sz w:val="20"/>
          <w:szCs w:val="20"/>
          <w:lang w:val="es-ES" w:eastAsia="es-ES"/>
          <w14:ligatures w14:val="none"/>
        </w:rPr>
      </w:pPr>
    </w:p>
    <w:p w14:paraId="132A9B8D" w14:textId="77777777" w:rsidR="00BB1B37" w:rsidRPr="00BB1B37" w:rsidRDefault="00BB1B37" w:rsidP="00BB1B37">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3.2 Objetivo Especifico</w:t>
      </w:r>
    </w:p>
    <w:p w14:paraId="649E2AF7" w14:textId="77777777" w:rsidR="00BB1B37" w:rsidRPr="00BB1B37" w:rsidRDefault="00BB1B37" w:rsidP="00BB1B37">
      <w:pPr>
        <w:numPr>
          <w:ilvl w:val="0"/>
          <w:numId w:val="2"/>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Brindar atención de abastecimiento de Productos Farmacéuticos Escenciales a la población que acude al Hospital Regional del Cusco.</w:t>
      </w:r>
    </w:p>
    <w:p w14:paraId="22E32F28" w14:textId="77777777" w:rsidR="00BB1B37" w:rsidRPr="00BB1B37" w:rsidRDefault="00BB1B37" w:rsidP="00BB1B37">
      <w:pPr>
        <w:numPr>
          <w:ilvl w:val="0"/>
          <w:numId w:val="2"/>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Mantener obligatoriamente y de manera permanente, stock de seguridad de Productos Farmacéuticos Escenciales.</w:t>
      </w:r>
    </w:p>
    <w:p w14:paraId="3EB593F5" w14:textId="77777777" w:rsidR="00BB1B37" w:rsidRPr="00BB1B37" w:rsidRDefault="00BB1B37" w:rsidP="00BB1B37">
      <w:pPr>
        <w:spacing w:line="276" w:lineRule="auto"/>
        <w:jc w:val="both"/>
        <w:rPr>
          <w:rFonts w:ascii="Times New Roman" w:eastAsia="Calibri" w:hAnsi="Times New Roman" w:cs="Times New Roman"/>
          <w:b/>
          <w:kern w:val="0"/>
          <w:sz w:val="20"/>
          <w:szCs w:val="20"/>
          <w:lang w:val="es-ES"/>
          <w14:ligatures w14:val="none"/>
        </w:rPr>
      </w:pPr>
    </w:p>
    <w:p w14:paraId="56F9EB41" w14:textId="1BE41C31" w:rsidR="00BB1B37" w:rsidRPr="00BB1B37" w:rsidRDefault="00BB1B37" w:rsidP="00BB1B37">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4.</w:t>
      </w:r>
      <w:r w:rsidRPr="00BB1B37">
        <w:rPr>
          <w:rFonts w:ascii="Times New Roman" w:eastAsia="Calibri" w:hAnsi="Times New Roman" w:cs="Times New Roman"/>
          <w:b/>
          <w:kern w:val="0"/>
          <w:sz w:val="20"/>
          <w:szCs w:val="20"/>
          <w:lang w:val="es-ES"/>
          <w14:ligatures w14:val="none"/>
        </w:rPr>
        <w:tab/>
        <w:t>Alcance y Descripción de los bienes contratar:</w:t>
      </w:r>
    </w:p>
    <w:p w14:paraId="4CC300DE" w14:textId="788FD383" w:rsidR="00BB1B37" w:rsidRPr="000D5A74" w:rsidRDefault="004B3C7D" w:rsidP="00BB1B37">
      <w:pPr>
        <w:spacing w:line="276" w:lineRule="auto"/>
        <w:jc w:val="both"/>
        <w:rPr>
          <w:rFonts w:ascii="Times New Roman" w:eastAsia="Calibri" w:hAnsi="Times New Roman" w:cs="Times New Roman"/>
          <w:b/>
          <w:kern w:val="0"/>
          <w:sz w:val="20"/>
          <w:szCs w:val="20"/>
          <w:lang w:val="es-ES"/>
          <w14:ligatures w14:val="none"/>
        </w:rPr>
      </w:pPr>
      <w:r w:rsidRPr="004B3C7D">
        <w:rPr>
          <w:noProof/>
        </w:rPr>
        <w:drawing>
          <wp:inline distT="0" distB="0" distL="0" distR="0" wp14:anchorId="35CE12AC" wp14:editId="1640262D">
            <wp:extent cx="5400040" cy="364490"/>
            <wp:effectExtent l="0" t="0" r="0" b="0"/>
            <wp:docPr id="450620315" name="Imagen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400040" cy="364490"/>
                    </a:xfrm>
                    <a:prstGeom prst="rect">
                      <a:avLst/>
                    </a:prstGeom>
                    <a:noFill/>
                    <a:ln>
                      <a:noFill/>
                    </a:ln>
                  </pic:spPr>
                </pic:pic>
              </a:graphicData>
            </a:graphic>
          </wp:inline>
        </w:drawing>
      </w:r>
    </w:p>
    <w:p w14:paraId="70051FD5" w14:textId="7ECF43C0" w:rsidR="00BB1B37" w:rsidRPr="00BB1B37" w:rsidRDefault="00BB1B37" w:rsidP="00BB1B37">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4.1 Características Técnicas:</w:t>
      </w:r>
    </w:p>
    <w:p w14:paraId="0FA330C2" w14:textId="77777777" w:rsidR="00BB1B37" w:rsidRPr="00BB1B37" w:rsidRDefault="00BB1B37" w:rsidP="00BB1B37">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El producto farmacéutico objeto de la presente contratación, deben contar con las siguientes características:</w:t>
      </w:r>
    </w:p>
    <w:p w14:paraId="0292380E" w14:textId="77777777" w:rsidR="00BB1B37" w:rsidRPr="00BB1B37" w:rsidRDefault="00BB1B37" w:rsidP="00BB1B37">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 xml:space="preserve">  Deben cumplir cada una de las características de calidad según los requisitos establecidos en la farmacopea vigente a la cual se acoge, acorde a lo autorizado en su Registro Sanitario. Cuando la forma farmacéutica del producto farmacéutico no se encuentre en las farmacopeas aceptadas por ley, el producto farmacéutico deberá cumplir con las especificaciones técnicas de calidad declaradas en la técnica analítica propia del fabricante de acuerdo a lo aceptado en su Registro Sanitario.</w:t>
      </w:r>
    </w:p>
    <w:p w14:paraId="6135A264" w14:textId="5C6662FD" w:rsidR="00BB1B37" w:rsidRPr="00BB1B37" w:rsidRDefault="00BB1B37" w:rsidP="00BB1B37">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4.2 Condiciones de Operación:</w:t>
      </w:r>
    </w:p>
    <w:p w14:paraId="61A3C60B" w14:textId="77777777" w:rsidR="00BB1B37" w:rsidRDefault="00BB1B37" w:rsidP="00BB1B37">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No Aplica</w:t>
      </w:r>
    </w:p>
    <w:p w14:paraId="1FA55D41" w14:textId="77777777" w:rsidR="00414FB2" w:rsidRPr="00BB1B37" w:rsidRDefault="00414FB2" w:rsidP="00BB1B37">
      <w:pPr>
        <w:spacing w:line="276" w:lineRule="auto"/>
        <w:jc w:val="both"/>
        <w:rPr>
          <w:rFonts w:ascii="Times New Roman" w:eastAsia="Calibri" w:hAnsi="Times New Roman" w:cs="Times New Roman"/>
          <w:bCs/>
          <w:kern w:val="0"/>
          <w:sz w:val="20"/>
          <w:szCs w:val="20"/>
          <w:lang w:val="es-ES"/>
          <w14:ligatures w14:val="none"/>
        </w:rPr>
      </w:pPr>
    </w:p>
    <w:p w14:paraId="62F18D87" w14:textId="77777777" w:rsidR="00BB1B37" w:rsidRPr="00BB1B37" w:rsidRDefault="00BB1B37" w:rsidP="00BB1B37">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lastRenderedPageBreak/>
        <w:t>4.3. Embalaje y Rotulo:</w:t>
      </w:r>
    </w:p>
    <w:p w14:paraId="67CF65B5" w14:textId="77777777" w:rsidR="00BB1B37" w:rsidRPr="00BB1B37" w:rsidRDefault="00BB1B37" w:rsidP="00BB1B37">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4.3.1. Envase</w:t>
      </w:r>
    </w:p>
    <w:p w14:paraId="1A7DBFA7" w14:textId="77777777" w:rsidR="00BB1B37" w:rsidRPr="00BB1B37" w:rsidRDefault="00BB1B37" w:rsidP="00BB1B37">
      <w:pPr>
        <w:numPr>
          <w:ilvl w:val="0"/>
          <w:numId w:val="3"/>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Envase inmediato: Envase según lo autorizado en el Registro Sanitario, que asegure la conservación y hermeticidad del producto, el mismo que deberá contener rotulado impreso.</w:t>
      </w:r>
    </w:p>
    <w:p w14:paraId="652E168C" w14:textId="77777777" w:rsidR="00BB1B37" w:rsidRPr="00BB1B37" w:rsidRDefault="00BB1B37" w:rsidP="00BB1B37">
      <w:pPr>
        <w:numPr>
          <w:ilvl w:val="0"/>
          <w:numId w:val="3"/>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Envase mediato: Envase autorizado en el Registro Sanitario, que permita proteger el producto durante su transporte y almacenamiento.</w:t>
      </w:r>
    </w:p>
    <w:p w14:paraId="3423F17F" w14:textId="77777777" w:rsidR="00BB1B37" w:rsidRPr="00BB1B37" w:rsidRDefault="00BB1B37" w:rsidP="00BB1B37">
      <w:pPr>
        <w:spacing w:after="0" w:line="276" w:lineRule="auto"/>
        <w:ind w:left="720"/>
        <w:contextualSpacing/>
        <w:jc w:val="both"/>
        <w:rPr>
          <w:rFonts w:ascii="Times New Roman" w:eastAsia="Times New Roman" w:hAnsi="Times New Roman" w:cs="Times New Roman"/>
          <w:bCs/>
          <w:kern w:val="0"/>
          <w:sz w:val="20"/>
          <w:szCs w:val="20"/>
          <w:lang w:val="es-ES" w:eastAsia="es-ES"/>
          <w14:ligatures w14:val="none"/>
        </w:rPr>
      </w:pPr>
    </w:p>
    <w:p w14:paraId="61F4598B" w14:textId="77777777" w:rsidR="00BB1B37" w:rsidRPr="00BB1B37" w:rsidRDefault="00BB1B37" w:rsidP="00BB1B37">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4.3.2. Embalaje</w:t>
      </w:r>
    </w:p>
    <w:p w14:paraId="761C237A" w14:textId="77777777" w:rsidR="00BB1B37" w:rsidRPr="00BB1B37" w:rsidRDefault="00BB1B37" w:rsidP="00BB1B37">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 xml:space="preserve">El embalaje de los productos farmacéuticos deberá cumplir con los siguientes requisitos: </w:t>
      </w:r>
    </w:p>
    <w:p w14:paraId="3089F46F" w14:textId="77777777" w:rsidR="00BB1B37" w:rsidRPr="00BB1B37" w:rsidRDefault="00BB1B37" w:rsidP="00BB1B37">
      <w:pPr>
        <w:numPr>
          <w:ilvl w:val="0"/>
          <w:numId w:val="4"/>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Cajas de cartón nuevas que garanticen la integridad, orden, conservación, transporte y adecuado almacenamiento.</w:t>
      </w:r>
    </w:p>
    <w:p w14:paraId="37731C91" w14:textId="77777777" w:rsidR="00BB1B37" w:rsidRPr="00BB1B37" w:rsidRDefault="00BB1B37" w:rsidP="00BB1B37">
      <w:pPr>
        <w:numPr>
          <w:ilvl w:val="0"/>
          <w:numId w:val="4"/>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Cajas que faciliten su conteo y fácil apilamiento, precisando el número de cajas apilables, será el que determine el fabricante para su proceso de almacenaje.</w:t>
      </w:r>
    </w:p>
    <w:p w14:paraId="561BC323" w14:textId="77777777" w:rsidR="00BB1B37" w:rsidRPr="00BB1B37" w:rsidRDefault="00BB1B37" w:rsidP="00BB1B37">
      <w:pPr>
        <w:numPr>
          <w:ilvl w:val="0"/>
          <w:numId w:val="4"/>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Cajas debidamente rotuladas indicando nombre del Producto Farmacéutico, concentración, forma farmacéutica, presentación, cantidad, lote, fecha de vencimiento, nombre del proveedor, especificaciones para la conservación y almacenamiento.</w:t>
      </w:r>
    </w:p>
    <w:p w14:paraId="0219F51A" w14:textId="77777777" w:rsidR="00BB1B37" w:rsidRPr="00BB1B37" w:rsidRDefault="00BB1B37" w:rsidP="00BB1B37">
      <w:pPr>
        <w:numPr>
          <w:ilvl w:val="0"/>
          <w:numId w:val="4"/>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Dicha información podrá ser indicada en etiquetas. Aplica a caja master, es decir a caja completa del Producto Farmacéutico.</w:t>
      </w:r>
    </w:p>
    <w:p w14:paraId="3D93BD3B" w14:textId="77777777" w:rsidR="00BB1B37" w:rsidRPr="00BB1B37" w:rsidRDefault="00BB1B37" w:rsidP="00BB1B37">
      <w:pPr>
        <w:spacing w:after="0" w:line="276" w:lineRule="auto"/>
        <w:ind w:left="720"/>
        <w:contextualSpacing/>
        <w:jc w:val="both"/>
        <w:rPr>
          <w:rFonts w:ascii="Times New Roman" w:eastAsia="Times New Roman" w:hAnsi="Times New Roman" w:cs="Times New Roman"/>
          <w:bCs/>
          <w:kern w:val="0"/>
          <w:sz w:val="20"/>
          <w:szCs w:val="20"/>
          <w:lang w:val="es-ES" w:eastAsia="es-ES"/>
          <w14:ligatures w14:val="none"/>
        </w:rPr>
      </w:pPr>
    </w:p>
    <w:p w14:paraId="67CF56F9" w14:textId="77777777" w:rsidR="00BB1B37" w:rsidRPr="00BB1B37" w:rsidRDefault="00BB1B37" w:rsidP="00BB1B37">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4.3.3. Rotulado de los envases mediato e inmediato</w:t>
      </w:r>
    </w:p>
    <w:p w14:paraId="184886CB" w14:textId="77777777" w:rsidR="00BB1B37" w:rsidRPr="00BB1B37" w:rsidRDefault="00BB1B37" w:rsidP="00BB1B37">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Los rotulados de los envases mediato e inmediato, deben corresponder al producto farmacéutico terminado de acuerdo a lo autorizado en su Registro Sanitario; debe ser impresa con tinta indeleble y resistente a la manipulación. Tratándose del número de lote y fecha de expiración, éstos también podrán ser impresos en alto o bajo relieve.</w:t>
      </w:r>
    </w:p>
    <w:p w14:paraId="3167E8A6" w14:textId="77777777" w:rsidR="00BB1B37" w:rsidRPr="00BB1B37" w:rsidRDefault="00BB1B37" w:rsidP="00BB1B37">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4.3.4. Inserto</w:t>
      </w:r>
    </w:p>
    <w:p w14:paraId="7A54E60B" w14:textId="77777777" w:rsidR="00BB1B37" w:rsidRPr="00BB1B37" w:rsidRDefault="00BB1B37" w:rsidP="00BB1B37">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 xml:space="preserve">Es obligatorio la inclusión del inserto con la información autorizada en su registro sanitario, según corresponda </w:t>
      </w:r>
    </w:p>
    <w:p w14:paraId="260A279D" w14:textId="77777777" w:rsidR="00BB1B37" w:rsidRPr="00BB1B37" w:rsidRDefault="00BB1B37" w:rsidP="00BB1B37">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 xml:space="preserve"> 4.4. Vigencia del producto:</w:t>
      </w:r>
    </w:p>
    <w:p w14:paraId="6E9E7000" w14:textId="1B1CF7C5" w:rsidR="00BB1B37" w:rsidRPr="00BB1B37" w:rsidRDefault="00BB1B37" w:rsidP="00BB1B37">
      <w:pPr>
        <w:numPr>
          <w:ilvl w:val="0"/>
          <w:numId w:val="5"/>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 xml:space="preserve">La vigencia mínima del medicamento debe ser igual o mayor </w:t>
      </w:r>
      <w:r w:rsidR="00414FB2">
        <w:rPr>
          <w:rFonts w:ascii="Times New Roman" w:eastAsia="Times New Roman" w:hAnsi="Times New Roman" w:cs="Times New Roman"/>
          <w:bCs/>
          <w:kern w:val="0"/>
          <w:sz w:val="20"/>
          <w:szCs w:val="20"/>
          <w:lang w:val="es-ES" w:eastAsia="es-ES"/>
          <w14:ligatures w14:val="none"/>
        </w:rPr>
        <w:t xml:space="preserve">a </w:t>
      </w:r>
      <w:r w:rsidRPr="00BB1B37">
        <w:rPr>
          <w:rFonts w:ascii="Times New Roman" w:eastAsia="Times New Roman" w:hAnsi="Times New Roman" w:cs="Times New Roman"/>
          <w:bCs/>
          <w:kern w:val="0"/>
          <w:sz w:val="20"/>
          <w:szCs w:val="20"/>
          <w:lang w:val="es-ES" w:eastAsia="es-ES"/>
          <w14:ligatures w14:val="none"/>
        </w:rPr>
        <w:t>dieciocho (18) meses, al momento de la entrega en el almacén de la entidad.</w:t>
      </w:r>
    </w:p>
    <w:p w14:paraId="4F3B9228" w14:textId="77777777" w:rsidR="00BB1B37" w:rsidRPr="00BB1B37" w:rsidRDefault="00BB1B37" w:rsidP="00BB1B37">
      <w:pPr>
        <w:numPr>
          <w:ilvl w:val="0"/>
          <w:numId w:val="5"/>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Para el caso de una vigencia igual o mayor a doce (12) meses, el proveedor deberá adjuntar una carta de compromiso de canje por vencimiento, el cual será presentado al momento de internar el producto correspondiente.</w:t>
      </w:r>
    </w:p>
    <w:p w14:paraId="3B62E093" w14:textId="77777777" w:rsidR="00BB1B37" w:rsidRPr="00BB1B37" w:rsidRDefault="00BB1B37" w:rsidP="00BB1B37">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El plazo de entrega contado a partir del día siguiente de notificada la orden de compra de acuerdo al cronograma establecido.</w:t>
      </w:r>
    </w:p>
    <w:p w14:paraId="4C3C95AD" w14:textId="7B64497D" w:rsidR="00BB1B37" w:rsidRPr="00BB1B37" w:rsidRDefault="00414FB2" w:rsidP="00BB1B37">
      <w:pPr>
        <w:spacing w:line="240" w:lineRule="auto"/>
        <w:jc w:val="both"/>
        <w:rPr>
          <w:rFonts w:ascii="Times New Roman" w:eastAsia="Calibri" w:hAnsi="Times New Roman" w:cs="Times New Roman"/>
          <w:b/>
          <w:kern w:val="0"/>
          <w:sz w:val="20"/>
          <w:szCs w:val="20"/>
          <w:lang w:val="es-ES"/>
          <w14:ligatures w14:val="none"/>
        </w:rPr>
      </w:pPr>
      <w:r>
        <w:rPr>
          <w:rFonts w:ascii="Times New Roman" w:eastAsia="Calibri" w:hAnsi="Times New Roman" w:cs="Times New Roman"/>
          <w:b/>
          <w:kern w:val="0"/>
          <w:sz w:val="20"/>
          <w:szCs w:val="20"/>
          <w:lang w:val="es-ES"/>
          <w14:ligatures w14:val="none"/>
        </w:rPr>
        <w:t>5</w:t>
      </w:r>
      <w:r w:rsidR="00BB1B37" w:rsidRPr="00BB1B37">
        <w:rPr>
          <w:rFonts w:ascii="Times New Roman" w:eastAsia="Calibri" w:hAnsi="Times New Roman" w:cs="Times New Roman"/>
          <w:b/>
          <w:kern w:val="0"/>
          <w:sz w:val="20"/>
          <w:szCs w:val="20"/>
          <w:lang w:val="es-ES"/>
          <w14:ligatures w14:val="none"/>
        </w:rPr>
        <w:t>. Lugar y plazo de entrega</w:t>
      </w:r>
    </w:p>
    <w:p w14:paraId="4B46EA9C" w14:textId="529E4FA3" w:rsidR="00BB1B37" w:rsidRPr="00BB1B37" w:rsidRDefault="00BB1B37" w:rsidP="00BB1B37">
      <w:pPr>
        <w:spacing w:line="240"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Almacén de Medicamentos del Hospital Regional Cusco, Avenida de la Cultura s/n (Referencia, frente a la Puerta de Medicina UNSAAC), en horario de atención de lunes a sábado de 7:</w:t>
      </w:r>
      <w:r w:rsidR="00414FB2">
        <w:rPr>
          <w:rFonts w:ascii="Times New Roman" w:eastAsia="Calibri" w:hAnsi="Times New Roman" w:cs="Times New Roman"/>
          <w:bCs/>
          <w:kern w:val="0"/>
          <w:sz w:val="20"/>
          <w:szCs w:val="20"/>
          <w:lang w:val="es-ES"/>
          <w14:ligatures w14:val="none"/>
        </w:rPr>
        <w:t>3</w:t>
      </w:r>
      <w:r w:rsidRPr="00BB1B37">
        <w:rPr>
          <w:rFonts w:ascii="Times New Roman" w:eastAsia="Calibri" w:hAnsi="Times New Roman" w:cs="Times New Roman"/>
          <w:bCs/>
          <w:kern w:val="0"/>
          <w:sz w:val="20"/>
          <w:szCs w:val="20"/>
          <w:lang w:val="es-ES"/>
          <w14:ligatures w14:val="none"/>
        </w:rPr>
        <w:t xml:space="preserve">0 a.m. a 12:00 m. </w:t>
      </w:r>
    </w:p>
    <w:p w14:paraId="629787CC" w14:textId="0D1863E8" w:rsidR="00BB1B37" w:rsidRPr="00BB1B37" w:rsidRDefault="00414FB2" w:rsidP="00BB1B37">
      <w:pPr>
        <w:spacing w:line="240" w:lineRule="auto"/>
        <w:jc w:val="both"/>
        <w:rPr>
          <w:rFonts w:ascii="Times New Roman" w:eastAsia="Calibri" w:hAnsi="Times New Roman" w:cs="Times New Roman"/>
          <w:b/>
          <w:kern w:val="0"/>
          <w:sz w:val="20"/>
          <w:szCs w:val="20"/>
          <w:lang w:val="es-ES"/>
          <w14:ligatures w14:val="none"/>
        </w:rPr>
      </w:pPr>
      <w:r>
        <w:rPr>
          <w:rFonts w:ascii="Times New Roman" w:eastAsia="Calibri" w:hAnsi="Times New Roman" w:cs="Times New Roman"/>
          <w:b/>
          <w:kern w:val="0"/>
          <w:sz w:val="20"/>
          <w:szCs w:val="20"/>
          <w:lang w:val="es-ES"/>
          <w14:ligatures w14:val="none"/>
        </w:rPr>
        <w:t>5</w:t>
      </w:r>
      <w:r w:rsidR="00BB1B37" w:rsidRPr="00BB1B37">
        <w:rPr>
          <w:rFonts w:ascii="Times New Roman" w:eastAsia="Calibri" w:hAnsi="Times New Roman" w:cs="Times New Roman"/>
          <w:b/>
          <w:kern w:val="0"/>
          <w:sz w:val="20"/>
          <w:szCs w:val="20"/>
          <w:lang w:val="es-ES"/>
          <w14:ligatures w14:val="none"/>
        </w:rPr>
        <w:t>.1.  Plazo de entrega:</w:t>
      </w:r>
    </w:p>
    <w:p w14:paraId="6A4179F1" w14:textId="576C111E" w:rsidR="00BB1B37" w:rsidRDefault="00BB1B37" w:rsidP="00BB1B37">
      <w:pPr>
        <w:spacing w:line="240"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 xml:space="preserve">La entrega de los bienes, se realizará en un plazo de (05) días calendarios, computado a partir del día siguiente de </w:t>
      </w:r>
      <w:r w:rsidR="003B083D">
        <w:rPr>
          <w:rFonts w:ascii="Times New Roman" w:eastAsia="Calibri" w:hAnsi="Times New Roman" w:cs="Times New Roman"/>
          <w:bCs/>
          <w:kern w:val="0"/>
          <w:sz w:val="20"/>
          <w:szCs w:val="20"/>
          <w:lang w:val="es-ES"/>
          <w14:ligatures w14:val="none"/>
        </w:rPr>
        <w:t xml:space="preserve">notificado </w:t>
      </w:r>
      <w:r w:rsidRPr="00BB1B37">
        <w:rPr>
          <w:rFonts w:ascii="Times New Roman" w:eastAsia="Calibri" w:hAnsi="Times New Roman" w:cs="Times New Roman"/>
          <w:bCs/>
          <w:kern w:val="0"/>
          <w:sz w:val="20"/>
          <w:szCs w:val="20"/>
          <w:lang w:val="es-ES"/>
          <w14:ligatures w14:val="none"/>
        </w:rPr>
        <w:t>la Orden de Compra.</w:t>
      </w:r>
    </w:p>
    <w:p w14:paraId="3219A57F" w14:textId="77777777" w:rsidR="00414FB2" w:rsidRDefault="00414FB2" w:rsidP="00BB1B37">
      <w:pPr>
        <w:spacing w:line="240" w:lineRule="auto"/>
        <w:jc w:val="both"/>
        <w:rPr>
          <w:rFonts w:ascii="Times New Roman" w:eastAsia="Calibri" w:hAnsi="Times New Roman" w:cs="Times New Roman"/>
          <w:bCs/>
          <w:kern w:val="0"/>
          <w:sz w:val="20"/>
          <w:szCs w:val="20"/>
          <w:lang w:val="es-ES"/>
          <w14:ligatures w14:val="none"/>
        </w:rPr>
      </w:pPr>
    </w:p>
    <w:p w14:paraId="1200C868" w14:textId="77777777" w:rsidR="00414FB2" w:rsidRPr="00BB1B37" w:rsidRDefault="00414FB2" w:rsidP="00BB1B37">
      <w:pPr>
        <w:spacing w:line="240" w:lineRule="auto"/>
        <w:jc w:val="both"/>
        <w:rPr>
          <w:rFonts w:ascii="Times New Roman" w:eastAsia="Calibri" w:hAnsi="Times New Roman" w:cs="Times New Roman"/>
          <w:bCs/>
          <w:kern w:val="0"/>
          <w:sz w:val="20"/>
          <w:szCs w:val="20"/>
          <w:lang w:val="es-ES"/>
          <w14:ligatures w14:val="none"/>
        </w:rPr>
      </w:pPr>
    </w:p>
    <w:p w14:paraId="6CF014C6" w14:textId="2FA79F1F" w:rsidR="00BB1B37" w:rsidRPr="00BB1B37" w:rsidRDefault="00414FB2" w:rsidP="00BB1B37">
      <w:pPr>
        <w:spacing w:line="276" w:lineRule="auto"/>
        <w:jc w:val="both"/>
        <w:rPr>
          <w:rFonts w:ascii="Times New Roman" w:eastAsia="Calibri" w:hAnsi="Times New Roman" w:cs="Times New Roman"/>
          <w:b/>
          <w:kern w:val="0"/>
          <w:sz w:val="20"/>
          <w:szCs w:val="20"/>
          <w:lang w:val="es-ES"/>
          <w14:ligatures w14:val="none"/>
        </w:rPr>
      </w:pPr>
      <w:r>
        <w:rPr>
          <w:rFonts w:ascii="Times New Roman" w:eastAsia="Calibri" w:hAnsi="Times New Roman" w:cs="Times New Roman"/>
          <w:b/>
          <w:kern w:val="0"/>
          <w:sz w:val="20"/>
          <w:szCs w:val="20"/>
          <w:lang w:val="es-ES"/>
          <w14:ligatures w14:val="none"/>
        </w:rPr>
        <w:lastRenderedPageBreak/>
        <w:t>6</w:t>
      </w:r>
      <w:r w:rsidR="00BB1B37" w:rsidRPr="00BB1B37">
        <w:rPr>
          <w:rFonts w:ascii="Times New Roman" w:eastAsia="Calibri" w:hAnsi="Times New Roman" w:cs="Times New Roman"/>
          <w:b/>
          <w:kern w:val="0"/>
          <w:sz w:val="20"/>
          <w:szCs w:val="20"/>
          <w:lang w:val="es-ES"/>
          <w14:ligatures w14:val="none"/>
        </w:rPr>
        <w:t>. Consideraciones para la recepción de los Bienes</w:t>
      </w:r>
    </w:p>
    <w:p w14:paraId="5159E44B" w14:textId="77777777" w:rsidR="00BB1B37" w:rsidRPr="00BB1B37" w:rsidRDefault="00BB1B37" w:rsidP="00BB1B37">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En el Acto de Recepción de los bienes que formaran parte de la entrega, el proveedor deberá entregar en el Almacen de Medicamentos del Hospital Regional Cusco, copia simple de los siguientes documentos, a fin de llevar a cabo la conformidad de recepción:</w:t>
      </w:r>
    </w:p>
    <w:p w14:paraId="0097EE89" w14:textId="77777777" w:rsidR="00BB1B37" w:rsidRPr="00BB1B37" w:rsidRDefault="00BB1B37" w:rsidP="00BB1B37">
      <w:pPr>
        <w:numPr>
          <w:ilvl w:val="0"/>
          <w:numId w:val="6"/>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Orden de Compra — Guía de Internamiento (copia).</w:t>
      </w:r>
    </w:p>
    <w:p w14:paraId="5FA6B6B7" w14:textId="77777777" w:rsidR="00BB1B37" w:rsidRPr="00BB1B37" w:rsidRDefault="00BB1B37" w:rsidP="00BB1B37">
      <w:pPr>
        <w:numPr>
          <w:ilvl w:val="0"/>
          <w:numId w:val="6"/>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 xml:space="preserve">Guía de Remisión (Destinatario + SUNAT + 02 Copias adicionales). Esta deberá consignar en forma obligatoria para cada ítem el número de lote y la cantidad entregada por lote. </w:t>
      </w:r>
    </w:p>
    <w:p w14:paraId="6BA677D2" w14:textId="77777777" w:rsidR="00BB1B37" w:rsidRPr="00BB1B37" w:rsidRDefault="00BB1B37" w:rsidP="00BB1B37">
      <w:pPr>
        <w:numPr>
          <w:ilvl w:val="0"/>
          <w:numId w:val="6"/>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Copia simple de la Resolución Directoral del Registro Sanitario o Certificado de Registro Sanitario vigente; de acuerdo a los requisitos documentarios mínimos del proveedor del bien.</w:t>
      </w:r>
    </w:p>
    <w:p w14:paraId="6C4F94D8" w14:textId="77777777" w:rsidR="00BB1B37" w:rsidRPr="00BB1B37" w:rsidRDefault="00BB1B37" w:rsidP="00BB1B37">
      <w:pPr>
        <w:numPr>
          <w:ilvl w:val="0"/>
          <w:numId w:val="6"/>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 xml:space="preserve">Copia del Certificado de Análisis emitido por el fabricante o quien encarga su fabricación, según lo dispuesto en la norma correspondiente. </w:t>
      </w:r>
    </w:p>
    <w:p w14:paraId="1D2E4D90" w14:textId="77777777" w:rsidR="00BB1B37" w:rsidRPr="00BB1B37" w:rsidRDefault="00BB1B37" w:rsidP="00BB1B37">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 xml:space="preserve">El Almacen de Medicamentos del Hospital Regional Cusco no está obligado a recibir los bienes si no han sido presentados todos los documentos que corresponde a la entrega, o si se detecta que no corresponde el producto con lo solicitado (vigencia del producto, forma de presentación, logotipo, entre otros). </w:t>
      </w:r>
    </w:p>
    <w:p w14:paraId="14624669" w14:textId="5639C225" w:rsidR="00BB1B37" w:rsidRPr="00BB1B37" w:rsidRDefault="00414FB2" w:rsidP="00BB1B37">
      <w:pPr>
        <w:spacing w:line="276" w:lineRule="auto"/>
        <w:jc w:val="both"/>
        <w:rPr>
          <w:rFonts w:ascii="Times New Roman" w:eastAsia="Calibri" w:hAnsi="Times New Roman" w:cs="Times New Roman"/>
          <w:b/>
          <w:kern w:val="0"/>
          <w:sz w:val="20"/>
          <w:szCs w:val="20"/>
          <w:lang w:val="es-ES"/>
          <w14:ligatures w14:val="none"/>
        </w:rPr>
      </w:pPr>
      <w:r>
        <w:rPr>
          <w:rFonts w:ascii="Times New Roman" w:eastAsia="Calibri" w:hAnsi="Times New Roman" w:cs="Times New Roman"/>
          <w:b/>
          <w:kern w:val="0"/>
          <w:sz w:val="20"/>
          <w:szCs w:val="20"/>
          <w:lang w:val="es-ES"/>
          <w14:ligatures w14:val="none"/>
        </w:rPr>
        <w:t>7</w:t>
      </w:r>
      <w:r w:rsidR="00BB1B37" w:rsidRPr="00BB1B37">
        <w:rPr>
          <w:rFonts w:ascii="Times New Roman" w:eastAsia="Calibri" w:hAnsi="Times New Roman" w:cs="Times New Roman"/>
          <w:b/>
          <w:kern w:val="0"/>
          <w:sz w:val="20"/>
          <w:szCs w:val="20"/>
          <w:lang w:val="es-ES"/>
          <w14:ligatures w14:val="none"/>
        </w:rPr>
        <w:t>. Conformidad</w:t>
      </w:r>
    </w:p>
    <w:p w14:paraId="1933ED5C" w14:textId="77777777" w:rsidR="00BB1B37" w:rsidRPr="00BB1B37" w:rsidRDefault="00BB1B37" w:rsidP="00BB1B37">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La conformidad de la prestación se regula por lo dispuesto en el artículo 144 del RLGCP, de acuerdo a lo siguiente:</w:t>
      </w:r>
    </w:p>
    <w:p w14:paraId="78259346" w14:textId="77777777" w:rsidR="00BB1B37" w:rsidRPr="00BB1B37" w:rsidRDefault="00BB1B37" w:rsidP="00BB1B37">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La conformidad será otorgada a través del Informe emitido por el jefe del Almacen de Medicamentos del Hospital Regional Cusco en un plazo máximo de siete (7) días de producida la recepción.</w:t>
      </w:r>
    </w:p>
    <w:p w14:paraId="548FCEC1" w14:textId="77777777" w:rsidR="00BB1B37" w:rsidRPr="00BB1B37" w:rsidRDefault="00BB1B37" w:rsidP="00BB1B37">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Para efectos de la emisión de la conformidad, el contratista debe presentar la siguiente documentación:</w:t>
      </w:r>
    </w:p>
    <w:p w14:paraId="2BFB925D" w14:textId="77777777" w:rsidR="00BB1B37" w:rsidRPr="00BB1B37" w:rsidRDefault="00BB1B37" w:rsidP="00BB1B37">
      <w:pPr>
        <w:numPr>
          <w:ilvl w:val="0"/>
          <w:numId w:val="7"/>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Guía de Remisión (Destinatario + SUNAT), debidamente suscrito detallando la fecha de recepción de los bienes.</w:t>
      </w:r>
    </w:p>
    <w:p w14:paraId="6D2AC1DD" w14:textId="77777777" w:rsidR="00BB1B37" w:rsidRPr="00BB1B37" w:rsidRDefault="00BB1B37" w:rsidP="00BB1B37">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De existir observaciones, El Almacen de Medicamentos del Hospital Regional Cusco, las comunica al CONTRATISTA, indicando claramente el sentido de estas, otorgándole un plazo para subsanar el cual no debe ser mayor al 30% del plazo del entregable correspondiente, dependiendo de la complejidad o sofisticación de las subsanaciones a realizar. Si pese al plazo otorgado, EL CONTRATISTA no cumpliese a cabalidad con la subsanación, la Entidad puede otorgar al CONTRATISTA periodos adicionales para las correcciones pertinentes. En este supuesto corresponde aplicar la penalidad por mora desde el vencimiento del plazo para subsanar sin considerar los días en los que pudiera incurrir la DEC para efectuar las revisiones y notificar las observaciones correspondientes.</w:t>
      </w:r>
    </w:p>
    <w:p w14:paraId="1C5C3173" w14:textId="77777777" w:rsidR="00BB1B37" w:rsidRPr="00BB1B37" w:rsidRDefault="00BB1B37" w:rsidP="00BB1B37">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Este procedimiento no resulta aplicable cuando los bienes manifiestamente no cumplan con las características y condiciones ofrecidas, en cuyo caso El Almacen de Medicamentos del Hospital Regional Cusco no efectúa la recepción o no otorga la conformidad, según corresponda, debiendo considerarse como no ejecutada la prestación, aplicándose la penalidad que corresponda por cada día de atraso.</w:t>
      </w:r>
    </w:p>
    <w:p w14:paraId="17E1CD7D" w14:textId="416BBDEC" w:rsidR="00BB1B37" w:rsidRPr="00BB1B37" w:rsidRDefault="00414FB2" w:rsidP="00BB1B37">
      <w:pPr>
        <w:spacing w:line="276" w:lineRule="auto"/>
        <w:jc w:val="both"/>
        <w:rPr>
          <w:rFonts w:ascii="Times New Roman" w:eastAsia="Calibri" w:hAnsi="Times New Roman" w:cs="Times New Roman"/>
          <w:b/>
          <w:kern w:val="0"/>
          <w:sz w:val="20"/>
          <w:szCs w:val="20"/>
          <w:lang w:val="es-ES"/>
          <w14:ligatures w14:val="none"/>
        </w:rPr>
      </w:pPr>
      <w:r>
        <w:rPr>
          <w:rFonts w:ascii="Times New Roman" w:eastAsia="Calibri" w:hAnsi="Times New Roman" w:cs="Times New Roman"/>
          <w:b/>
          <w:kern w:val="0"/>
          <w:sz w:val="20"/>
          <w:szCs w:val="20"/>
          <w:lang w:val="es-ES"/>
          <w14:ligatures w14:val="none"/>
        </w:rPr>
        <w:t>8</w:t>
      </w:r>
      <w:r w:rsidR="00BB1B37" w:rsidRPr="00BB1B37">
        <w:rPr>
          <w:rFonts w:ascii="Times New Roman" w:eastAsia="Calibri" w:hAnsi="Times New Roman" w:cs="Times New Roman"/>
          <w:b/>
          <w:kern w:val="0"/>
          <w:sz w:val="20"/>
          <w:szCs w:val="20"/>
          <w:lang w:val="es-ES"/>
          <w14:ligatures w14:val="none"/>
        </w:rPr>
        <w:t>. Forma y Condiciones de Pago:</w:t>
      </w:r>
    </w:p>
    <w:p w14:paraId="4C94FD8A" w14:textId="77777777" w:rsidR="00BB1B37" w:rsidRPr="00BB1B37" w:rsidRDefault="00BB1B37" w:rsidP="00BB1B37">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El pago se realizará en una sola armada, de conformidad con lo establecido en el artículo 67 de la Ley.</w:t>
      </w:r>
    </w:p>
    <w:p w14:paraId="183CDE1F" w14:textId="1E620718" w:rsidR="00BB1B37" w:rsidRDefault="00BB1B37" w:rsidP="00414FB2">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 xml:space="preserve">La Entidad paga las contraprestaciones pactadas a favor del contratista dentro de los diez (10) días hábiles siguientes de otorgada la conformidad por parte del área usuaria y es prorrogable, previa justificación de la demora, por cinco días hábiles. La Entidad realiza el pago de la contraprestación pactada a favor del contratista en SOLES, en un PAGO ÚNICO, luego de la recepción formal y completa de la documentación correspondiente, según lo establecido en el artículo 144 del Reglamento de la Ley N° 32069, Ley General de Contrataciones Públicas, aprobado por Decreto Supremo N O 009-2025-EF. </w:t>
      </w:r>
    </w:p>
    <w:p w14:paraId="18F91A4D" w14:textId="77777777" w:rsidR="00414FB2" w:rsidRDefault="00414FB2" w:rsidP="00414FB2">
      <w:pPr>
        <w:spacing w:line="276" w:lineRule="auto"/>
        <w:jc w:val="both"/>
        <w:rPr>
          <w:rFonts w:ascii="Times New Roman" w:eastAsia="Calibri" w:hAnsi="Times New Roman" w:cs="Times New Roman"/>
          <w:bCs/>
          <w:kern w:val="0"/>
          <w:sz w:val="20"/>
          <w:szCs w:val="20"/>
          <w:lang w:val="es-ES"/>
          <w14:ligatures w14:val="none"/>
        </w:rPr>
      </w:pPr>
    </w:p>
    <w:p w14:paraId="72220A0D" w14:textId="77777777" w:rsidR="00BB1B37" w:rsidRPr="00BB1B37" w:rsidRDefault="00BB1B37" w:rsidP="00BB1B37">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Penalidades</w:t>
      </w:r>
    </w:p>
    <w:p w14:paraId="1EE876CE" w14:textId="77777777" w:rsidR="00BB1B37" w:rsidRPr="00BB1B37" w:rsidRDefault="00BB1B37" w:rsidP="00BB1B37">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lastRenderedPageBreak/>
        <w:t>En caso de retraso injustificado del contratista en la ejecución de las prestaciones objeto del contrato, la DEC le aplica automáticamente una penalidad por mora por cada día de atraso que le sea imputable, La penalidad se aplica automáticamente y se calcula de acuerdo con la siguiente fórmula:</w:t>
      </w:r>
    </w:p>
    <w:p w14:paraId="57228DD5" w14:textId="77777777" w:rsidR="00BB1B37" w:rsidRPr="00BB1B37" w:rsidRDefault="00BB1B37" w:rsidP="00BB1B37">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noProof/>
          <w:kern w:val="0"/>
          <w:sz w:val="20"/>
          <w:szCs w:val="20"/>
          <w:lang w:val="es-ES"/>
          <w14:ligatures w14:val="none"/>
        </w:rPr>
        <mc:AlternateContent>
          <mc:Choice Requires="wps">
            <w:drawing>
              <wp:anchor distT="0" distB="0" distL="114300" distR="114300" simplePos="0" relativeHeight="251659264" behindDoc="0" locked="0" layoutInCell="1" allowOverlap="1" wp14:anchorId="1AF40A84" wp14:editId="1F44285F">
                <wp:simplePos x="0" y="0"/>
                <wp:positionH relativeFrom="column">
                  <wp:posOffset>1529715</wp:posOffset>
                </wp:positionH>
                <wp:positionV relativeFrom="paragraph">
                  <wp:posOffset>195579</wp:posOffset>
                </wp:positionV>
                <wp:extent cx="819150" cy="0"/>
                <wp:effectExtent l="0" t="0" r="0" b="0"/>
                <wp:wrapNone/>
                <wp:docPr id="1950835075" name="Conector recto 736"/>
                <wp:cNvGraphicFramePr/>
                <a:graphic xmlns:a="http://schemas.openxmlformats.org/drawingml/2006/main">
                  <a:graphicData uri="http://schemas.microsoft.com/office/word/2010/wordprocessingShape">
                    <wps:wsp>
                      <wps:cNvCnPr/>
                      <wps:spPr>
                        <a:xfrm flipV="1">
                          <a:off x="0" y="0"/>
                          <a:ext cx="819150"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13C48290" id="Conector recto 736"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0.45pt,15.4pt" to="184.95pt,1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" strokecolor="windowText" strokeweight=".5pt">
                <v:stroke joinstyle="miter"/>
              </v:line>
            </w:pict>
          </mc:Fallback>
        </mc:AlternateContent>
      </w:r>
      <w:r w:rsidRPr="00BB1B37">
        <w:rPr>
          <w:rFonts w:ascii="Times New Roman" w:eastAsia="Calibri" w:hAnsi="Times New Roman" w:cs="Times New Roman"/>
          <w:bCs/>
          <w:kern w:val="0"/>
          <w:sz w:val="20"/>
          <w:szCs w:val="20"/>
          <w:lang w:val="es-ES"/>
          <w14:ligatures w14:val="none"/>
        </w:rPr>
        <w:tab/>
        <w:t>Penalidad diaria    =    0.10 X monto</w:t>
      </w:r>
    </w:p>
    <w:p w14:paraId="63A80BC7" w14:textId="77777777" w:rsidR="00BB1B37" w:rsidRPr="00BB1B37" w:rsidRDefault="00BB1B37" w:rsidP="00BB1B37">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 xml:space="preserve">                                                FX plazo en días</w:t>
      </w:r>
    </w:p>
    <w:p w14:paraId="40D8C49C" w14:textId="77777777" w:rsidR="00BB1B37" w:rsidRPr="00BB1B37" w:rsidRDefault="00BB1B37" w:rsidP="00BB1B37">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Donde F tiene los siguientes valores: F 0.40</w:t>
      </w:r>
    </w:p>
    <w:p w14:paraId="56FB5D0D" w14:textId="77777777" w:rsidR="00BB1B37" w:rsidRPr="00BB1B37" w:rsidRDefault="00BB1B37" w:rsidP="00BB1B37">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Tanto el monto como el plazo se refieren, según corresponda, al monto vigente del contrato, componente o ítem que debió ejecutarse o, en caso de que estos involucren entregables cuantificables en monto y plazo, al monto y plazo del entregable que fuera materia de retraso.El retraso se justifica a través de la solicitud de ampliación de plazo debidamente aprobado. Adicionalmente, se considera justificado el retraso y en consecuencia no se aplica penalidad, cuando EL CONTRATISTA acredite, de modo objetivamente sustentado, que el mayor tiempo transcurrido no le resulta imputable. En este último caso la calificación del retraso como justificado por parte de la Jefatura de Farmacia no da lugar al pago de gastos generales ni costos directos de ningún tipo, conforme al numeral 120,4 del artículo 120 del Reglamento de la Ley N O 32069, Ley General de Contrataciones Públicas, aprobado por Decreto Supremo N O 009-2025-EF. Las penalidades se deducen de los pagos a cuenta, pagos parciales o del pago final, según corresponda.</w:t>
      </w:r>
    </w:p>
    <w:p w14:paraId="042DA766" w14:textId="78274046" w:rsidR="00BB1B37" w:rsidRPr="00BB1B37" w:rsidRDefault="00414FB2" w:rsidP="00BB1B37">
      <w:pPr>
        <w:spacing w:line="276" w:lineRule="auto"/>
        <w:jc w:val="both"/>
        <w:rPr>
          <w:rFonts w:ascii="Times New Roman" w:eastAsia="Calibri" w:hAnsi="Times New Roman" w:cs="Times New Roman"/>
          <w:b/>
          <w:kern w:val="0"/>
          <w:sz w:val="20"/>
          <w:szCs w:val="20"/>
          <w:lang w:val="es-ES"/>
          <w14:ligatures w14:val="none"/>
        </w:rPr>
      </w:pPr>
      <w:r>
        <w:rPr>
          <w:rFonts w:ascii="Times New Roman" w:eastAsia="Calibri" w:hAnsi="Times New Roman" w:cs="Times New Roman"/>
          <w:b/>
          <w:kern w:val="0"/>
          <w:sz w:val="20"/>
          <w:szCs w:val="20"/>
          <w:lang w:val="es-ES"/>
          <w14:ligatures w14:val="none"/>
        </w:rPr>
        <w:t>9</w:t>
      </w:r>
      <w:r w:rsidR="00BB1B37" w:rsidRPr="00BB1B37">
        <w:rPr>
          <w:rFonts w:ascii="Times New Roman" w:eastAsia="Calibri" w:hAnsi="Times New Roman" w:cs="Times New Roman"/>
          <w:b/>
          <w:kern w:val="0"/>
          <w:sz w:val="20"/>
          <w:szCs w:val="20"/>
          <w:lang w:val="es-ES"/>
          <w14:ligatures w14:val="none"/>
        </w:rPr>
        <w:t>. Responsabilidad por Vicios Ocultos</w:t>
      </w:r>
      <w:r w:rsidR="00BB1B37" w:rsidRPr="00BB1B37">
        <w:rPr>
          <w:rFonts w:ascii="Times New Roman" w:eastAsia="Calibri" w:hAnsi="Times New Roman" w:cs="Times New Roman"/>
          <w:b/>
          <w:kern w:val="0"/>
          <w:sz w:val="20"/>
          <w:szCs w:val="20"/>
          <w:lang w:val="es-ES"/>
          <w14:ligatures w14:val="none"/>
        </w:rPr>
        <w:tab/>
      </w:r>
    </w:p>
    <w:p w14:paraId="667BA834" w14:textId="50AC30D7" w:rsidR="00BB1B37" w:rsidRPr="00BB1B37" w:rsidRDefault="00BB1B37" w:rsidP="00BB1B37">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 xml:space="preserve">La conformidad de recepción de la prestación por parte de LA ENTIDAD no enerva su derecho a reclamar posteriormente por defectos o vicios u otras situaciones anómalas no detectables o no verificables durante la recepción de los productos farmacéuticos, por causas atribuibles al Contratista, debiendo proceder a la reposición o canje total del lote de los bienes que se hayan detectado en las situaciones descritas. El plazo máximo de responsabilidad del contratista es de dos (2) años, contados a partir de la conformidad otorgada por LA </w:t>
      </w:r>
      <w:r w:rsidR="00414FB2" w:rsidRPr="00BB1B37">
        <w:rPr>
          <w:rFonts w:ascii="Times New Roman" w:eastAsia="Calibri" w:hAnsi="Times New Roman" w:cs="Times New Roman"/>
          <w:bCs/>
          <w:kern w:val="0"/>
          <w:sz w:val="20"/>
          <w:szCs w:val="20"/>
          <w:lang w:val="es-ES"/>
          <w14:ligatures w14:val="none"/>
        </w:rPr>
        <w:t>ENTIDAD El</w:t>
      </w:r>
      <w:r w:rsidRPr="00BB1B37">
        <w:rPr>
          <w:rFonts w:ascii="Times New Roman" w:eastAsia="Calibri" w:hAnsi="Times New Roman" w:cs="Times New Roman"/>
          <w:bCs/>
          <w:kern w:val="0"/>
          <w:sz w:val="20"/>
          <w:szCs w:val="20"/>
          <w:lang w:val="es-ES"/>
          <w14:ligatures w14:val="none"/>
        </w:rPr>
        <w:t xml:space="preserve"> proveedor deberá presentar Declaración Jurada de Compromiso de Canje y/o reposición por vicios ocultos, los productos a ingresar en el canje tendrán una vigencia igual o mayor a lo ofertado en el proceso de selección</w:t>
      </w:r>
    </w:p>
    <w:p w14:paraId="7EE64811" w14:textId="043C4871" w:rsidR="00BB1B37" w:rsidRPr="00BB1B37" w:rsidRDefault="00BB1B37" w:rsidP="00BB1B37">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1</w:t>
      </w:r>
      <w:r w:rsidR="000F15D7">
        <w:rPr>
          <w:rFonts w:ascii="Times New Roman" w:eastAsia="Calibri" w:hAnsi="Times New Roman" w:cs="Times New Roman"/>
          <w:b/>
          <w:kern w:val="0"/>
          <w:sz w:val="20"/>
          <w:szCs w:val="20"/>
          <w:lang w:val="es-ES"/>
          <w14:ligatures w14:val="none"/>
        </w:rPr>
        <w:t>0</w:t>
      </w:r>
      <w:r w:rsidRPr="00BB1B37">
        <w:rPr>
          <w:rFonts w:ascii="Times New Roman" w:eastAsia="Calibri" w:hAnsi="Times New Roman" w:cs="Times New Roman"/>
          <w:b/>
          <w:kern w:val="0"/>
          <w:sz w:val="20"/>
          <w:szCs w:val="20"/>
          <w:lang w:val="es-ES"/>
          <w14:ligatures w14:val="none"/>
        </w:rPr>
        <w:t>. Gestión de Riesgos</w:t>
      </w:r>
    </w:p>
    <w:p w14:paraId="6367A5EA" w14:textId="77777777" w:rsidR="00BB1B37" w:rsidRPr="00BB1B37" w:rsidRDefault="00BB1B37" w:rsidP="00BB1B37">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 xml:space="preserve">Las partes realizan la gestión de riesgos de acuerdo con lo establecido en el presente documento, a fin de tomar decisiones informadas, aprovechando el impacto de riesgos positivos y disminuyendo la probabilidad de los riesgos negativos y su impacto durante la ejecución contractual, considerando la finalidad pública de la contratación. </w:t>
      </w:r>
    </w:p>
    <w:p w14:paraId="1A54F806" w14:textId="695338DB" w:rsidR="00BB1B37" w:rsidRPr="00BB1B37" w:rsidRDefault="00BB1B37" w:rsidP="00BB1B37">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1</w:t>
      </w:r>
      <w:r w:rsidR="000F15D7">
        <w:rPr>
          <w:rFonts w:ascii="Times New Roman" w:eastAsia="Calibri" w:hAnsi="Times New Roman" w:cs="Times New Roman"/>
          <w:b/>
          <w:kern w:val="0"/>
          <w:sz w:val="20"/>
          <w:szCs w:val="20"/>
          <w:lang w:val="es-ES"/>
          <w14:ligatures w14:val="none"/>
        </w:rPr>
        <w:t>1</w:t>
      </w:r>
      <w:r w:rsidRPr="00BB1B37">
        <w:rPr>
          <w:rFonts w:ascii="Times New Roman" w:eastAsia="Calibri" w:hAnsi="Times New Roman" w:cs="Times New Roman"/>
          <w:b/>
          <w:kern w:val="0"/>
          <w:sz w:val="20"/>
          <w:szCs w:val="20"/>
          <w:lang w:val="es-ES"/>
          <w14:ligatures w14:val="none"/>
        </w:rPr>
        <w:t>. Anticorrupción y Antisoborno</w:t>
      </w:r>
    </w:p>
    <w:p w14:paraId="48BBB4E1" w14:textId="77777777" w:rsidR="00BB1B37" w:rsidRPr="00BB1B37" w:rsidRDefault="00BB1B37" w:rsidP="00BB1B37">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 xml:space="preserve">A la suscripción de este contrato, EL CONTRATISTA declara y garantiza no haber ofrecido, negociado, prometido o efectuado ningún pago o entrega de cualquier beneficio o incentivo ilegal, de manera directa o indirecta, a los evaluadores del proceso de contratación o cualquier servidor de la Entidad. Asimismo, EL CONTRATISTA se obliga a mantener una conducta proba e íntegra durante la vigencia del contrato, y después de culminado el mismo en caso existan controversias pendientes de resolver, lo que supone actuar con probidad, sin cometer actos ilícitos, directa o indirectamente. Aunado a ello, EL CONTRATISTA se obliga a abstenerse de ofrecer, negociar, prometer o dar regalos, cortesías, invitaciones, donativos o cualquier beneficio o incentivo ilegal, directa o indirectamente, a funcionarios públicos, servidores públicos, locadores de servicios o proveedores de servicios del área usuaria, dependencia encargada de la contratación, actores del proceso de contratación y/o cualquier servidor de la Entidad, con la finalidad de obtener alguna ventaja indebida o beneficio ilícito, En esa línea, se obliga a adoptar las medidas técnicas, organizativas y/o de personal necesarias para asegurar que no se practiquen los actos previamente señalados. Adicionalmente, EL CONTRATISTA se compromete a denunciar oportunamente ante las autoridades competentes los actos de corrupción o de inconducta funcional de los cuales tuviera </w:t>
      </w:r>
      <w:r w:rsidRPr="00BB1B37">
        <w:rPr>
          <w:rFonts w:ascii="Times New Roman" w:eastAsia="Calibri" w:hAnsi="Times New Roman" w:cs="Times New Roman"/>
          <w:bCs/>
          <w:kern w:val="0"/>
          <w:sz w:val="20"/>
          <w:szCs w:val="20"/>
          <w:lang w:val="es-ES"/>
          <w14:ligatures w14:val="none"/>
        </w:rPr>
        <w:lastRenderedPageBreak/>
        <w:t xml:space="preserve">conocimiento durante la ejecución del contrato con la Entidad. Tratándose de una persona jurídica, lo anterior se extiende a sus accionistas, participacioncitas, integrantes de los órganos de administración, apoderados, representantes legales, funcionarios, asesores o cualquier persona vinculada a la persona jurídica que representa; comprometiéndose a informarles sobre los alcances de las obligaciones asumidas en virtud del presente contrato. Finalmente, el incumplimiento de las obligaciones establecidas en esta cláusula, durante la ejecución contractual, otorga a la Entidad el derecho de resolver total o parcialmente el contrato. Cuando lo anterior se produzca por parte de un proveedor adjudicatario de los catálogos electrónicos de acuerdo marco, el incumplimiento de la presente cláusula conllevará que sea excluido de los Catálogos Electrónicos de Acuerdo Marco. En ningún caso, dichas medidas impiden el inicio de las acciones civiles, penales y administrativas a que hubiera lugar. </w:t>
      </w:r>
    </w:p>
    <w:p w14:paraId="6416E624" w14:textId="318F9A81" w:rsidR="00BB1B37" w:rsidRPr="00BB1B37" w:rsidRDefault="00BB1B37" w:rsidP="00BB1B37">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1</w:t>
      </w:r>
      <w:r w:rsidR="000F15D7">
        <w:rPr>
          <w:rFonts w:ascii="Times New Roman" w:eastAsia="Calibri" w:hAnsi="Times New Roman" w:cs="Times New Roman"/>
          <w:b/>
          <w:kern w:val="0"/>
          <w:sz w:val="20"/>
          <w:szCs w:val="20"/>
          <w:lang w:val="es-ES"/>
          <w14:ligatures w14:val="none"/>
        </w:rPr>
        <w:t>2</w:t>
      </w:r>
      <w:r w:rsidRPr="00BB1B37">
        <w:rPr>
          <w:rFonts w:ascii="Times New Roman" w:eastAsia="Calibri" w:hAnsi="Times New Roman" w:cs="Times New Roman"/>
          <w:b/>
          <w:kern w:val="0"/>
          <w:sz w:val="20"/>
          <w:szCs w:val="20"/>
          <w:lang w:val="es-ES"/>
          <w14:ligatures w14:val="none"/>
        </w:rPr>
        <w:t xml:space="preserve">. Solución de Controversias Contractuales: </w:t>
      </w:r>
      <w:r w:rsidRPr="00BB1B37">
        <w:rPr>
          <w:rFonts w:ascii="Times New Roman" w:eastAsia="Calibri" w:hAnsi="Times New Roman" w:cs="Times New Roman"/>
          <w:bCs/>
          <w:kern w:val="0"/>
          <w:sz w:val="20"/>
          <w:szCs w:val="20"/>
          <w:lang w:val="es-ES"/>
          <w14:ligatures w14:val="none"/>
        </w:rPr>
        <w:t xml:space="preserve">Las controversias que surjan entre las partes durante la ejecución del contrato se resuelven mediante conciliación, cuando se haya pactado el arbitraje </w:t>
      </w:r>
    </w:p>
    <w:p w14:paraId="5D87DB14" w14:textId="77777777" w:rsidR="00BB1B37" w:rsidRPr="00BB1B37" w:rsidRDefault="00BB1B37" w:rsidP="00BB1B37">
      <w:pPr>
        <w:spacing w:line="276" w:lineRule="auto"/>
        <w:jc w:val="both"/>
        <w:rPr>
          <w:rFonts w:ascii="Times New Roman" w:eastAsia="Calibri" w:hAnsi="Times New Roman" w:cs="Times New Roman"/>
          <w:bCs/>
          <w:kern w:val="0"/>
          <w:sz w:val="20"/>
          <w:szCs w:val="20"/>
          <w:lang w:val="es-ES"/>
          <w14:ligatures w14:val="none"/>
        </w:rPr>
      </w:pPr>
    </w:p>
    <w:p w14:paraId="6F8CDC00" w14:textId="77777777" w:rsidR="002957A6" w:rsidRPr="00BB1B37" w:rsidRDefault="002957A6">
      <w:pPr>
        <w:rPr>
          <w:lang w:val="es-ES"/>
        </w:rPr>
      </w:pPr>
    </w:p>
    <w:sectPr w:rsidR="002957A6" w:rsidRPr="00BB1B37">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62807F" w14:textId="77777777" w:rsidR="009B7173" w:rsidRDefault="009B7173" w:rsidP="00BB1B37">
      <w:pPr>
        <w:spacing w:after="0" w:line="240" w:lineRule="auto"/>
      </w:pPr>
      <w:r>
        <w:separator/>
      </w:r>
    </w:p>
  </w:endnote>
  <w:endnote w:type="continuationSeparator" w:id="0">
    <w:p w14:paraId="1A6B835E" w14:textId="77777777" w:rsidR="009B7173" w:rsidRDefault="009B7173" w:rsidP="00BB1B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361EEA" w14:textId="71F90EC8" w:rsidR="00BB1B37" w:rsidRPr="00BB1B37" w:rsidRDefault="00BB1B37" w:rsidP="00BB1B37">
    <w:pPr>
      <w:tabs>
        <w:tab w:val="center" w:pos="4419"/>
        <w:tab w:val="right" w:pos="8838"/>
      </w:tabs>
      <w:spacing w:after="0" w:line="240" w:lineRule="auto"/>
      <w:rPr>
        <w:rFonts w:ascii="Calibri" w:eastAsia="Calibri" w:hAnsi="Calibri" w:cs="Times New Roman"/>
        <w:kern w:val="0"/>
        <w:sz w:val="22"/>
        <w:szCs w:val="22"/>
        <w:lang w:val="en-US"/>
        <w14:ligatures w14:val="none"/>
      </w:rPr>
    </w:pPr>
    <w:r w:rsidRPr="00BB1B37">
      <w:rPr>
        <w:rFonts w:ascii="Calibri" w:eastAsia="Calibri" w:hAnsi="Calibri" w:cs="Times New Roman"/>
        <w:kern w:val="0"/>
        <w:sz w:val="22"/>
        <w:szCs w:val="22"/>
        <w:lang w:val="en-US"/>
        <w14:ligatures w14:val="none"/>
      </w:rPr>
      <w:t>EPG</w:t>
    </w:r>
    <w:r>
      <w:rPr>
        <w:rFonts w:ascii="Calibri" w:eastAsia="Calibri" w:hAnsi="Calibri" w:cs="Times New Roman"/>
        <w:kern w:val="0"/>
        <w:sz w:val="22"/>
        <w:szCs w:val="22"/>
        <w:lang w:val="en-US"/>
        <w14:ligatures w14:val="none"/>
      </w:rPr>
      <w:t>-esq</w:t>
    </w:r>
  </w:p>
  <w:p w14:paraId="3E4CCC80" w14:textId="77777777" w:rsidR="00BB1B37" w:rsidRPr="00BB1B37" w:rsidRDefault="00BB1B37" w:rsidP="00BB1B37">
    <w:pPr>
      <w:tabs>
        <w:tab w:val="center" w:pos="4419"/>
        <w:tab w:val="right" w:pos="8838"/>
      </w:tabs>
      <w:spacing w:after="0" w:line="240" w:lineRule="auto"/>
      <w:rPr>
        <w:rFonts w:ascii="Calibri" w:eastAsia="Calibri" w:hAnsi="Calibri" w:cs="Times New Roman"/>
        <w:kern w:val="0"/>
        <w:sz w:val="22"/>
        <w:szCs w:val="22"/>
        <w:lang w:val="en-US"/>
        <w14:ligatures w14:val="none"/>
      </w:rPr>
    </w:pPr>
    <w:r w:rsidRPr="00BB1B37">
      <w:rPr>
        <w:rFonts w:ascii="Calibri" w:eastAsia="Calibri" w:hAnsi="Calibri" w:cs="Times New Roman"/>
        <w:kern w:val="0"/>
        <w:sz w:val="22"/>
        <w:szCs w:val="22"/>
        <w:lang w:val="en-US"/>
        <w14:ligatures w14:val="none"/>
      </w:rPr>
      <w:t>SF/HRC</w:t>
    </w:r>
  </w:p>
  <w:p w14:paraId="1581FB47" w14:textId="77777777" w:rsidR="00BB1B37" w:rsidRDefault="00BB1B3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D7A6DF" w14:textId="77777777" w:rsidR="009B7173" w:rsidRDefault="009B7173" w:rsidP="00BB1B37">
      <w:pPr>
        <w:spacing w:after="0" w:line="240" w:lineRule="auto"/>
      </w:pPr>
      <w:r>
        <w:separator/>
      </w:r>
    </w:p>
  </w:footnote>
  <w:footnote w:type="continuationSeparator" w:id="0">
    <w:p w14:paraId="761CCA1D" w14:textId="77777777" w:rsidR="009B7173" w:rsidRDefault="009B7173" w:rsidP="00BB1B3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4DB9C5" w14:textId="77777777" w:rsidR="00BB1B37" w:rsidRDefault="00BB1B37" w:rsidP="00BB1B37">
    <w:pPr>
      <w:pStyle w:val="Encabezado"/>
      <w:jc w:val="center"/>
      <w:rPr>
        <w:rFonts w:ascii="Arial" w:hAnsi="Arial"/>
        <w:b/>
        <w:sz w:val="28"/>
        <w:lang w:val="es-MX"/>
      </w:rPr>
    </w:pPr>
    <w:r>
      <w:rPr>
        <w:rFonts w:ascii="Arial" w:hAnsi="Arial"/>
        <w:b/>
        <w:noProof/>
        <w:sz w:val="28"/>
      </w:rPr>
      <mc:AlternateContent>
        <mc:Choice Requires="wps">
          <w:drawing>
            <wp:anchor distT="0" distB="0" distL="114300" distR="114300" simplePos="0" relativeHeight="251663360" behindDoc="0" locked="0" layoutInCell="1" allowOverlap="1" wp14:anchorId="719732E9" wp14:editId="50890D6E">
              <wp:simplePos x="0" y="0"/>
              <wp:positionH relativeFrom="column">
                <wp:posOffset>3272790</wp:posOffset>
              </wp:positionH>
              <wp:positionV relativeFrom="paragraph">
                <wp:posOffset>-307340</wp:posOffset>
              </wp:positionV>
              <wp:extent cx="1847850" cy="600075"/>
              <wp:effectExtent l="0" t="0" r="0" b="0"/>
              <wp:wrapNone/>
              <wp:docPr id="1585"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47850" cy="600075"/>
                      </a:xfrm>
                      <a:prstGeom prst="rect">
                        <a:avLst/>
                      </a:prstGeom>
                      <a:noFill/>
                      <a:ln w="9525">
                        <a:noFill/>
                        <a:miter lim="800000"/>
                      </a:ln>
                    </wps:spPr>
                    <wps:txbx>
                      <w:txbxContent>
                        <w:p w14:paraId="234323A8" w14:textId="77777777" w:rsidR="00BB1B37" w:rsidRPr="003811A8" w:rsidRDefault="00BB1B37" w:rsidP="00BB1B37">
                          <w:pPr>
                            <w:jc w:val="center"/>
                            <w:rPr>
                              <w:rFonts w:ascii="Times New Roman" w:hAnsi="Times New Roman" w:cs="Times New Roman"/>
                              <w:b/>
                              <w:color w:val="808080"/>
                              <w:sz w:val="20"/>
                              <w:szCs w:val="20"/>
                              <w:lang w:val="es-ES"/>
                            </w:rPr>
                          </w:pPr>
                          <w:r w:rsidRPr="003811A8">
                            <w:rPr>
                              <w:rFonts w:ascii="Times New Roman" w:hAnsi="Times New Roman" w:cs="Times New Roman"/>
                              <w:b/>
                              <w:color w:val="808080"/>
                              <w:sz w:val="20"/>
                              <w:szCs w:val="20"/>
                              <w:lang w:val="es-ES"/>
                            </w:rPr>
                            <w:t>Servicio de Farmacia</w:t>
                          </w:r>
                        </w:p>
                        <w:p w14:paraId="61BBBC12" w14:textId="77777777" w:rsidR="00BB1B37" w:rsidRPr="003811A8" w:rsidRDefault="00BB1B37" w:rsidP="00BB1B37">
                          <w:pPr>
                            <w:jc w:val="center"/>
                            <w:rPr>
                              <w:rFonts w:ascii="Times New Roman" w:hAnsi="Times New Roman" w:cs="Times New Roman"/>
                              <w:b/>
                              <w:color w:val="808080"/>
                              <w:sz w:val="16"/>
                              <w:szCs w:val="20"/>
                              <w:lang w:val="es-ES"/>
                            </w:rPr>
                          </w:pPr>
                          <w:r w:rsidRPr="003811A8">
                            <w:rPr>
                              <w:rFonts w:ascii="Times New Roman" w:hAnsi="Times New Roman" w:cs="Times New Roman"/>
                              <w:b/>
                              <w:color w:val="808080"/>
                              <w:sz w:val="16"/>
                              <w:szCs w:val="20"/>
                              <w:lang w:val="es-ES"/>
                            </w:rPr>
                            <w:t xml:space="preserve">Área de </w:t>
                          </w:r>
                          <w:r>
                            <w:rPr>
                              <w:rFonts w:ascii="Times New Roman" w:hAnsi="Times New Roman" w:cs="Times New Roman"/>
                              <w:b/>
                              <w:color w:val="808080"/>
                              <w:sz w:val="16"/>
                              <w:szCs w:val="20"/>
                              <w:lang w:val="es-ES"/>
                            </w:rPr>
                            <w:t>Gestión de Programación de PF y DM</w:t>
                          </w:r>
                        </w:p>
                      </w:txbxContent>
                    </wps:txbx>
                    <wps:bodyPr rot="0" vert="horz" wrap="square" lIns="91440" tIns="45720" rIns="91440" bIns="45720" anchor="t" anchorCtr="0">
                      <a:noAutofit/>
                    </wps:bodyPr>
                  </wps:wsp>
                </a:graphicData>
              </a:graphic>
              <wp14:sizeRelH relativeFrom="page">
                <wp14:pctWidth>0</wp14:pctWidth>
              </wp14:sizeRelH>
              <wp14:sizeRelV relativeFrom="margin">
                <wp14:pctHeight>0</wp14:pctHeight>
              </wp14:sizeRelV>
            </wp:anchor>
          </w:drawing>
        </mc:Choice>
        <mc:Fallback>
          <w:pict>
            <v:shapetype w14:anchorId="719732E9" id="_x0000_t202" coordsize="21600,21600" o:spt="202" path="m,l,21600r21600,l21600,xe">
              <v:stroke joinstyle="miter"/>
              <v:path gradientshapeok="t" o:connecttype="rect"/>
            </v:shapetype>
            <v:shape id="Cuadro de texto 2" o:spid="_x0000_s1026" type="#_x0000_t202" style="position:absolute;left:0;text-align:left;margin-left:257.7pt;margin-top:-24.2pt;width:145.5pt;height:47.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" filled="f" stroked="f">
              <v:textbox>
                <w:txbxContent>
                  <w:p w14:paraId="234323A8" w14:textId="77777777" w:rsidR="00BB1B37" w:rsidRPr="003811A8" w:rsidRDefault="00BB1B37" w:rsidP="00BB1B37">
                    <w:pPr>
                      <w:jc w:val="center"/>
                      <w:rPr>
                        <w:rFonts w:ascii="Times New Roman" w:hAnsi="Times New Roman" w:cs="Times New Roman"/>
                        <w:b/>
                        <w:color w:val="808080"/>
                        <w:sz w:val="20"/>
                        <w:szCs w:val="20"/>
                        <w:lang w:val="es-ES"/>
                      </w:rPr>
                    </w:pPr>
                    <w:r w:rsidRPr="003811A8">
                      <w:rPr>
                        <w:rFonts w:ascii="Times New Roman" w:hAnsi="Times New Roman" w:cs="Times New Roman"/>
                        <w:b/>
                        <w:color w:val="808080"/>
                        <w:sz w:val="20"/>
                        <w:szCs w:val="20"/>
                        <w:lang w:val="es-ES"/>
                      </w:rPr>
                      <w:t>Servicio de Farmacia</w:t>
                    </w:r>
                  </w:p>
                  <w:p w14:paraId="61BBBC12" w14:textId="77777777" w:rsidR="00BB1B37" w:rsidRPr="003811A8" w:rsidRDefault="00BB1B37" w:rsidP="00BB1B37">
                    <w:pPr>
                      <w:jc w:val="center"/>
                      <w:rPr>
                        <w:rFonts w:ascii="Times New Roman" w:hAnsi="Times New Roman" w:cs="Times New Roman"/>
                        <w:b/>
                        <w:color w:val="808080"/>
                        <w:sz w:val="16"/>
                        <w:szCs w:val="20"/>
                        <w:lang w:val="es-ES"/>
                      </w:rPr>
                    </w:pPr>
                    <w:r w:rsidRPr="003811A8">
                      <w:rPr>
                        <w:rFonts w:ascii="Times New Roman" w:hAnsi="Times New Roman" w:cs="Times New Roman"/>
                        <w:b/>
                        <w:color w:val="808080"/>
                        <w:sz w:val="16"/>
                        <w:szCs w:val="20"/>
                        <w:lang w:val="es-ES"/>
                      </w:rPr>
                      <w:t xml:space="preserve">Área de </w:t>
                    </w:r>
                    <w:r>
                      <w:rPr>
                        <w:rFonts w:ascii="Times New Roman" w:hAnsi="Times New Roman" w:cs="Times New Roman"/>
                        <w:b/>
                        <w:color w:val="808080"/>
                        <w:sz w:val="16"/>
                        <w:szCs w:val="20"/>
                        <w:lang w:val="es-ES"/>
                      </w:rPr>
                      <w:t>Gestión de Programación de PF y DM</w:t>
                    </w:r>
                  </w:p>
                </w:txbxContent>
              </v:textbox>
            </v:shape>
          </w:pict>
        </mc:Fallback>
      </mc:AlternateContent>
    </w:r>
    <w:r>
      <w:rPr>
        <w:rFonts w:ascii="Arial" w:hAnsi="Arial"/>
        <w:b/>
        <w:noProof/>
        <w:sz w:val="28"/>
      </w:rPr>
      <mc:AlternateContent>
        <mc:Choice Requires="wps">
          <w:drawing>
            <wp:anchor distT="0" distB="0" distL="114300" distR="114300" simplePos="0" relativeHeight="251662336" behindDoc="0" locked="0" layoutInCell="1" allowOverlap="1" wp14:anchorId="34D5074F" wp14:editId="6B862D13">
              <wp:simplePos x="0" y="0"/>
              <wp:positionH relativeFrom="column">
                <wp:posOffset>1510030</wp:posOffset>
              </wp:positionH>
              <wp:positionV relativeFrom="paragraph">
                <wp:posOffset>-219075</wp:posOffset>
              </wp:positionV>
              <wp:extent cx="1655445" cy="349885"/>
              <wp:effectExtent l="0" t="0" r="0" b="0"/>
              <wp:wrapNone/>
              <wp:docPr id="252"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5445" cy="349885"/>
                      </a:xfrm>
                      <a:prstGeom prst="rect">
                        <a:avLst/>
                      </a:prstGeom>
                      <a:noFill/>
                      <a:ln>
                        <a:noFill/>
                      </a:ln>
                    </wps:spPr>
                    <wps:txbx>
                      <w:txbxContent>
                        <w:p w14:paraId="5B315696" w14:textId="77777777" w:rsidR="00BB1B37" w:rsidRPr="006063D2" w:rsidRDefault="00BB1B37" w:rsidP="00BB1B37">
                          <w:pPr>
                            <w:rPr>
                              <w:rFonts w:ascii="Arial" w:hAnsi="Arial" w:cs="Arial"/>
                              <w:b/>
                              <w:color w:val="FFFFFF"/>
                              <w:sz w:val="18"/>
                            </w:rPr>
                          </w:pPr>
                          <w:r w:rsidRPr="006063D2">
                            <w:rPr>
                              <w:rFonts w:ascii="Arial" w:hAnsi="Arial" w:cs="Arial"/>
                              <w:b/>
                              <w:color w:val="FFFFFF"/>
                              <w:sz w:val="18"/>
                            </w:rPr>
                            <w:t>HOSPITAL REGIONAL DEL CUSCO</w:t>
                          </w:r>
                        </w:p>
                      </w:txbxContent>
                    </wps:txbx>
                    <wps:bodyPr rot="0" vert="horz" wrap="square" lIns="91440" tIns="45720" rIns="91440" bIns="45720" anchor="t" anchorCtr="0" upright="1">
                      <a:noAutofit/>
                    </wps:bodyPr>
                  </wps:wsp>
                </a:graphicData>
              </a:graphic>
            </wp:anchor>
          </w:drawing>
        </mc:Choice>
        <mc:Fallback>
          <w:pict>
            <v:shape w14:anchorId="34D5074F" id="Text Box 16" o:spid="_x0000_s1027" type="#_x0000_t202" style="position:absolute;left:0;text-align:left;margin-left:118.9pt;margin-top:-17.25pt;width:130.35pt;height:27.5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" filled="f" stroked="f">
              <v:textbox>
                <w:txbxContent>
                  <w:p w14:paraId="5B315696" w14:textId="77777777" w:rsidR="00BB1B37" w:rsidRPr="006063D2" w:rsidRDefault="00BB1B37" w:rsidP="00BB1B37">
                    <w:pPr>
                      <w:rPr>
                        <w:rFonts w:ascii="Arial" w:hAnsi="Arial" w:cs="Arial"/>
                        <w:b/>
                        <w:color w:val="FFFFFF"/>
                        <w:sz w:val="18"/>
                      </w:rPr>
                    </w:pPr>
                    <w:r w:rsidRPr="006063D2">
                      <w:rPr>
                        <w:rFonts w:ascii="Arial" w:hAnsi="Arial" w:cs="Arial"/>
                        <w:b/>
                        <w:color w:val="FFFFFF"/>
                        <w:sz w:val="18"/>
                      </w:rPr>
                      <w:t>HOSPITAL REGIONAL DEL CUSCO</w:t>
                    </w:r>
                  </w:p>
                </w:txbxContent>
              </v:textbox>
            </v:shape>
          </w:pict>
        </mc:Fallback>
      </mc:AlternateContent>
    </w:r>
    <w:r>
      <w:rPr>
        <w:rFonts w:ascii="Arial" w:hAnsi="Arial"/>
        <w:b/>
        <w:noProof/>
        <w:sz w:val="28"/>
      </w:rPr>
      <w:drawing>
        <wp:anchor distT="0" distB="0" distL="114300" distR="114300" simplePos="0" relativeHeight="251660288" behindDoc="1" locked="0" layoutInCell="1" allowOverlap="1" wp14:anchorId="157C27C4" wp14:editId="570E5967">
          <wp:simplePos x="0" y="0"/>
          <wp:positionH relativeFrom="column">
            <wp:posOffset>-251460</wp:posOffset>
          </wp:positionH>
          <wp:positionV relativeFrom="paragraph">
            <wp:posOffset>-228600</wp:posOffset>
          </wp:positionV>
          <wp:extent cx="3486150" cy="381000"/>
          <wp:effectExtent l="19050" t="0" r="0" b="0"/>
          <wp:wrapNone/>
          <wp:docPr id="48082194" name="Imagen 5" descr="FORMATO DOCUMENTO PLANTILL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2" name="Imagen 5" descr="FORMATO DOCUMENTO PLANTILLA"/>
                  <pic:cNvPicPr>
                    <a:picLocks noChangeAspect="1" noChangeArrowheads="1"/>
                  </pic:cNvPicPr>
                </pic:nvPicPr>
                <pic:blipFill>
                  <a:blip r:embed="rId1">
                    <a:lum contrast="20000"/>
                  </a:blip>
                  <a:srcRect/>
                  <a:stretch>
                    <a:fillRect/>
                  </a:stretch>
                </pic:blipFill>
                <pic:spPr>
                  <a:xfrm>
                    <a:off x="0" y="0"/>
                    <a:ext cx="3486150" cy="381000"/>
                  </a:xfrm>
                  <a:prstGeom prst="rect">
                    <a:avLst/>
                  </a:prstGeom>
                  <a:solidFill>
                    <a:schemeClr val="bg1">
                      <a:lumMod val="50000"/>
                    </a:schemeClr>
                  </a:solidFill>
                  <a:ln w="9525">
                    <a:noFill/>
                    <a:miter lim="800000"/>
                    <a:headEnd/>
                    <a:tailEnd/>
                  </a:ln>
                </pic:spPr>
              </pic:pic>
            </a:graphicData>
          </a:graphic>
        </wp:anchor>
      </w:drawing>
    </w:r>
    <w:r>
      <w:rPr>
        <w:noProof/>
      </w:rPr>
      <w:drawing>
        <wp:anchor distT="0" distB="0" distL="114300" distR="114300" simplePos="0" relativeHeight="251661312" behindDoc="0" locked="0" layoutInCell="1" allowOverlap="1" wp14:anchorId="5C889E08" wp14:editId="00237C0A">
          <wp:simplePos x="0" y="0"/>
          <wp:positionH relativeFrom="column">
            <wp:posOffset>5200015</wp:posOffset>
          </wp:positionH>
          <wp:positionV relativeFrom="paragraph">
            <wp:posOffset>-305435</wp:posOffset>
          </wp:positionV>
          <wp:extent cx="1109980" cy="381000"/>
          <wp:effectExtent l="0" t="0" r="0" b="0"/>
          <wp:wrapNone/>
          <wp:docPr id="8920655" name="Imagen 5" descr="GAR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1" name="Imagen 5" descr="GARF"/>
                  <pic:cNvPicPr>
                    <a:picLocks noChangeAspect="1" noChangeArrowheads="1"/>
                  </pic:cNvPicPr>
                </pic:nvPicPr>
                <pic:blipFill>
                  <a:blip r:embed="rId2">
                    <a:clrChange>
                      <a:clrFrom>
                        <a:srgbClr val="FFFFFF"/>
                      </a:clrFrom>
                      <a:clrTo>
                        <a:srgbClr val="FFFFFF">
                          <a:alpha val="0"/>
                        </a:srgbClr>
                      </a:clrTo>
                    </a:clrChange>
                  </a:blip>
                  <a:srcRect/>
                  <a:stretch>
                    <a:fillRect/>
                  </a:stretch>
                </pic:blipFill>
                <pic:spPr>
                  <a:xfrm>
                    <a:off x="0" y="0"/>
                    <a:ext cx="1109980" cy="381000"/>
                  </a:xfrm>
                  <a:prstGeom prst="rect">
                    <a:avLst/>
                  </a:prstGeom>
                  <a:noFill/>
                  <a:ln w="9525">
                    <a:noFill/>
                    <a:miter lim="800000"/>
                    <a:headEnd/>
                    <a:tailEnd/>
                  </a:ln>
                </pic:spPr>
              </pic:pic>
            </a:graphicData>
          </a:graphic>
        </wp:anchor>
      </w:drawing>
    </w:r>
  </w:p>
  <w:p w14:paraId="08DCA498" w14:textId="77777777" w:rsidR="00BB1B37" w:rsidRDefault="00BB1B37" w:rsidP="00BB1B37">
    <w:pPr>
      <w:pStyle w:val="Encabezado"/>
      <w:tabs>
        <w:tab w:val="left" w:pos="795"/>
        <w:tab w:val="left" w:pos="7350"/>
      </w:tabs>
      <w:rPr>
        <w:rFonts w:ascii="Arial" w:hAnsi="Arial"/>
        <w:b/>
        <w:sz w:val="28"/>
        <w:lang w:val="es-MX"/>
      </w:rPr>
    </w:pPr>
    <w:r>
      <w:rPr>
        <w:noProof/>
      </w:rPr>
      <mc:AlternateContent>
        <mc:Choice Requires="wps">
          <w:drawing>
            <wp:anchor distT="0" distB="0" distL="114300" distR="114300" simplePos="0" relativeHeight="251659264" behindDoc="0" locked="0" layoutInCell="0" allowOverlap="1" wp14:anchorId="6C5A4B05" wp14:editId="5EFCF248">
              <wp:simplePos x="0" y="0"/>
              <wp:positionH relativeFrom="column">
                <wp:posOffset>-55245</wp:posOffset>
              </wp:positionH>
              <wp:positionV relativeFrom="paragraph">
                <wp:posOffset>144145</wp:posOffset>
              </wp:positionV>
              <wp:extent cx="5947410" cy="0"/>
              <wp:effectExtent l="30480" t="30480" r="32385" b="36195"/>
              <wp:wrapNone/>
              <wp:docPr id="250" name="Lin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7410" cy="0"/>
                      </a:xfrm>
                      <a:prstGeom prst="line">
                        <a:avLst/>
                      </a:prstGeom>
                      <a:noFill/>
                      <a:ln w="57150" cmpd="thinThick">
                        <a:solidFill>
                          <a:srgbClr val="000000"/>
                        </a:solidFill>
                        <a:round/>
                      </a:ln>
                    </wps:spPr>
                    <wps:bodyPr/>
                  </wps:wsp>
                </a:graphicData>
              </a:graphic>
            </wp:anchor>
          </w:drawing>
        </mc:Choice>
        <mc:Fallback>
          <w:pict>
            <v:line w14:anchorId="4A1F671A" id="Line 1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5pt,11.35pt" to="463.95pt,1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" o:allowincell="f" strokeweight="4.5pt">
              <v:stroke linestyle="thinThick"/>
            </v:line>
          </w:pict>
        </mc:Fallback>
      </mc:AlternateContent>
    </w:r>
    <w:r>
      <w:rPr>
        <w:rFonts w:ascii="Arial" w:hAnsi="Arial"/>
        <w:b/>
        <w:sz w:val="28"/>
        <w:lang w:val="es-MX"/>
      </w:rPr>
      <w:tab/>
    </w:r>
    <w:r>
      <w:rPr>
        <w:rFonts w:ascii="Arial" w:hAnsi="Arial"/>
        <w:b/>
        <w:sz w:val="28"/>
        <w:lang w:val="es-MX"/>
      </w:rPr>
      <w:tab/>
    </w:r>
    <w:r>
      <w:rPr>
        <w:rFonts w:ascii="Arial" w:hAnsi="Arial"/>
        <w:b/>
        <w:sz w:val="28"/>
        <w:lang w:val="es-MX"/>
      </w:rPr>
      <w:tab/>
    </w:r>
  </w:p>
  <w:p w14:paraId="260A4B81" w14:textId="32594942" w:rsidR="00BB1B37" w:rsidRPr="00BB1B37" w:rsidRDefault="00BB1B37">
    <w:pPr>
      <w:pStyle w:val="Encabezado"/>
      <w:rPr>
        <w:lang w:val="es-ES_tradnl"/>
      </w:rPr>
    </w:pPr>
    <w:r>
      <w:rPr>
        <w:rFonts w:ascii="Arial" w:hAnsi="Arial"/>
        <w:b/>
        <w:sz w:val="28"/>
        <w:lang w:val="es-MX"/>
      </w:rPr>
      <w:t xml:space="preserve">                 </w:t>
    </w:r>
    <w:r>
      <w:rPr>
        <w:rFonts w:ascii="Times New Roman" w:eastAsia="Times New Roman" w:hAnsi="Times New Roman" w:cs="Times New Roman"/>
        <w:b/>
        <w:color w:val="040C28"/>
        <w:sz w:val="20"/>
        <w:szCs w:val="30"/>
        <w:lang w:val="es-ES_tradnl" w:eastAsia="es-ES"/>
      </w:rPr>
      <w:t>“AÑO DE LA ESPERANZA Y FORTALECIMIENTO DE LA DEMOCRACIA”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34915"/>
    <w:multiLevelType w:val="hybridMultilevel"/>
    <w:tmpl w:val="C6B4A408"/>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 w15:restartNumberingAfterBreak="0">
    <w:nsid w:val="1E4B67EA"/>
    <w:multiLevelType w:val="hybridMultilevel"/>
    <w:tmpl w:val="9A74E41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26C92689"/>
    <w:multiLevelType w:val="hybridMultilevel"/>
    <w:tmpl w:val="2E4C610A"/>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 w15:restartNumberingAfterBreak="0">
    <w:nsid w:val="2782595D"/>
    <w:multiLevelType w:val="hybridMultilevel"/>
    <w:tmpl w:val="23C8F8D4"/>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 w15:restartNumberingAfterBreak="0">
    <w:nsid w:val="3D61639E"/>
    <w:multiLevelType w:val="hybridMultilevel"/>
    <w:tmpl w:val="F78C7A9C"/>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55AB4287"/>
    <w:multiLevelType w:val="hybridMultilevel"/>
    <w:tmpl w:val="11CAD924"/>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 w15:restartNumberingAfterBreak="0">
    <w:nsid w:val="60DD5A6D"/>
    <w:multiLevelType w:val="hybridMultilevel"/>
    <w:tmpl w:val="9F96EC2A"/>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 w15:restartNumberingAfterBreak="0">
    <w:nsid w:val="7A527076"/>
    <w:multiLevelType w:val="hybridMultilevel"/>
    <w:tmpl w:val="7A8010E2"/>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1415201135">
    <w:abstractNumId w:val="0"/>
  </w:num>
  <w:num w:numId="2" w16cid:durableId="1626424609">
    <w:abstractNumId w:val="4"/>
  </w:num>
  <w:num w:numId="3" w16cid:durableId="1677070939">
    <w:abstractNumId w:val="6"/>
  </w:num>
  <w:num w:numId="4" w16cid:durableId="2138136059">
    <w:abstractNumId w:val="2"/>
  </w:num>
  <w:num w:numId="5" w16cid:durableId="608240903">
    <w:abstractNumId w:val="7"/>
  </w:num>
  <w:num w:numId="6" w16cid:durableId="1107844436">
    <w:abstractNumId w:val="1"/>
  </w:num>
  <w:num w:numId="7" w16cid:durableId="1552812517">
    <w:abstractNumId w:val="5"/>
  </w:num>
  <w:num w:numId="8" w16cid:durableId="1431377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1B37"/>
    <w:rsid w:val="00076FB5"/>
    <w:rsid w:val="00083345"/>
    <w:rsid w:val="000D5A74"/>
    <w:rsid w:val="000E5C53"/>
    <w:rsid w:val="000F15D7"/>
    <w:rsid w:val="001360E3"/>
    <w:rsid w:val="00160F38"/>
    <w:rsid w:val="00166DE3"/>
    <w:rsid w:val="001E4D86"/>
    <w:rsid w:val="0025440C"/>
    <w:rsid w:val="002957A6"/>
    <w:rsid w:val="002E5ABB"/>
    <w:rsid w:val="00321433"/>
    <w:rsid w:val="0036355F"/>
    <w:rsid w:val="0038027F"/>
    <w:rsid w:val="00397125"/>
    <w:rsid w:val="003A6DB1"/>
    <w:rsid w:val="003B083D"/>
    <w:rsid w:val="003C20BE"/>
    <w:rsid w:val="003E0D41"/>
    <w:rsid w:val="003F29B5"/>
    <w:rsid w:val="00414FB2"/>
    <w:rsid w:val="00420987"/>
    <w:rsid w:val="00422740"/>
    <w:rsid w:val="004671BE"/>
    <w:rsid w:val="004876A4"/>
    <w:rsid w:val="004B194F"/>
    <w:rsid w:val="004B3C7D"/>
    <w:rsid w:val="004F340D"/>
    <w:rsid w:val="00502CB8"/>
    <w:rsid w:val="005219B3"/>
    <w:rsid w:val="0053613E"/>
    <w:rsid w:val="00557F6B"/>
    <w:rsid w:val="00575BB0"/>
    <w:rsid w:val="00576678"/>
    <w:rsid w:val="0058035D"/>
    <w:rsid w:val="00584102"/>
    <w:rsid w:val="005B1C82"/>
    <w:rsid w:val="005F23C4"/>
    <w:rsid w:val="00630CE9"/>
    <w:rsid w:val="006317E7"/>
    <w:rsid w:val="00662DAC"/>
    <w:rsid w:val="006958DB"/>
    <w:rsid w:val="006B6EC1"/>
    <w:rsid w:val="006E346E"/>
    <w:rsid w:val="00713A88"/>
    <w:rsid w:val="007367AE"/>
    <w:rsid w:val="00781B30"/>
    <w:rsid w:val="00787161"/>
    <w:rsid w:val="00797335"/>
    <w:rsid w:val="008400D2"/>
    <w:rsid w:val="00873231"/>
    <w:rsid w:val="008B1A9B"/>
    <w:rsid w:val="008B7AC6"/>
    <w:rsid w:val="008C598E"/>
    <w:rsid w:val="00934250"/>
    <w:rsid w:val="00974493"/>
    <w:rsid w:val="00977197"/>
    <w:rsid w:val="0098570D"/>
    <w:rsid w:val="00987EFD"/>
    <w:rsid w:val="009B7173"/>
    <w:rsid w:val="009C7C6D"/>
    <w:rsid w:val="009F408E"/>
    <w:rsid w:val="00A54AA7"/>
    <w:rsid w:val="00A815CD"/>
    <w:rsid w:val="00A97C53"/>
    <w:rsid w:val="00B079E6"/>
    <w:rsid w:val="00B10112"/>
    <w:rsid w:val="00B565EA"/>
    <w:rsid w:val="00BB1B37"/>
    <w:rsid w:val="00BE109D"/>
    <w:rsid w:val="00BF22B5"/>
    <w:rsid w:val="00C01AD3"/>
    <w:rsid w:val="00C41DF4"/>
    <w:rsid w:val="00C5034A"/>
    <w:rsid w:val="00C759AD"/>
    <w:rsid w:val="00CA494F"/>
    <w:rsid w:val="00DA5B42"/>
    <w:rsid w:val="00DD3EDE"/>
    <w:rsid w:val="00DF079C"/>
    <w:rsid w:val="00DF0A50"/>
    <w:rsid w:val="00E07E21"/>
    <w:rsid w:val="00E42CB6"/>
    <w:rsid w:val="00E74057"/>
    <w:rsid w:val="00EB72BF"/>
    <w:rsid w:val="00EF3A3F"/>
    <w:rsid w:val="00EF7847"/>
    <w:rsid w:val="00F46973"/>
    <w:rsid w:val="00F9261D"/>
    <w:rsid w:val="00FA009C"/>
    <w:rsid w:val="00FB0CB4"/>
    <w:rsid w:val="00FC51FE"/>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8FC1E0"/>
  <w15:chartTrackingRefBased/>
  <w15:docId w15:val="{79604CE0-3925-4490-9384-8146FE10E8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BB1B3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BB1B3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BB1B37"/>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BB1B37"/>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BB1B37"/>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BB1B37"/>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BB1B37"/>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BB1B37"/>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BB1B37"/>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BB1B37"/>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BB1B37"/>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BB1B37"/>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BB1B37"/>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BB1B37"/>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BB1B37"/>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BB1B37"/>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BB1B37"/>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BB1B37"/>
    <w:rPr>
      <w:rFonts w:eastAsiaTheme="majorEastAsia" w:cstheme="majorBidi"/>
      <w:color w:val="272727" w:themeColor="text1" w:themeTint="D8"/>
    </w:rPr>
  </w:style>
  <w:style w:type="paragraph" w:styleId="Ttulo">
    <w:name w:val="Title"/>
    <w:basedOn w:val="Normal"/>
    <w:next w:val="Normal"/>
    <w:link w:val="TtuloCar"/>
    <w:uiPriority w:val="10"/>
    <w:qFormat/>
    <w:rsid w:val="00BB1B3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BB1B37"/>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BB1B37"/>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BB1B37"/>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BB1B37"/>
    <w:pPr>
      <w:spacing w:before="160"/>
      <w:jc w:val="center"/>
    </w:pPr>
    <w:rPr>
      <w:i/>
      <w:iCs/>
      <w:color w:val="404040" w:themeColor="text1" w:themeTint="BF"/>
    </w:rPr>
  </w:style>
  <w:style w:type="character" w:customStyle="1" w:styleId="CitaCar">
    <w:name w:val="Cita Car"/>
    <w:basedOn w:val="Fuentedeprrafopredeter"/>
    <w:link w:val="Cita"/>
    <w:uiPriority w:val="29"/>
    <w:rsid w:val="00BB1B37"/>
    <w:rPr>
      <w:i/>
      <w:iCs/>
      <w:color w:val="404040" w:themeColor="text1" w:themeTint="BF"/>
    </w:rPr>
  </w:style>
  <w:style w:type="paragraph" w:styleId="Prrafodelista">
    <w:name w:val="List Paragraph"/>
    <w:basedOn w:val="Normal"/>
    <w:uiPriority w:val="34"/>
    <w:qFormat/>
    <w:rsid w:val="00BB1B37"/>
    <w:pPr>
      <w:ind w:left="720"/>
      <w:contextualSpacing/>
    </w:pPr>
  </w:style>
  <w:style w:type="character" w:styleId="nfasisintenso">
    <w:name w:val="Intense Emphasis"/>
    <w:basedOn w:val="Fuentedeprrafopredeter"/>
    <w:uiPriority w:val="21"/>
    <w:qFormat/>
    <w:rsid w:val="00BB1B37"/>
    <w:rPr>
      <w:i/>
      <w:iCs/>
      <w:color w:val="0F4761" w:themeColor="accent1" w:themeShade="BF"/>
    </w:rPr>
  </w:style>
  <w:style w:type="paragraph" w:styleId="Citadestacada">
    <w:name w:val="Intense Quote"/>
    <w:basedOn w:val="Normal"/>
    <w:next w:val="Normal"/>
    <w:link w:val="CitadestacadaCar"/>
    <w:uiPriority w:val="30"/>
    <w:qFormat/>
    <w:rsid w:val="00BB1B3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BB1B37"/>
    <w:rPr>
      <w:i/>
      <w:iCs/>
      <w:color w:val="0F4761" w:themeColor="accent1" w:themeShade="BF"/>
    </w:rPr>
  </w:style>
  <w:style w:type="character" w:styleId="Referenciaintensa">
    <w:name w:val="Intense Reference"/>
    <w:basedOn w:val="Fuentedeprrafopredeter"/>
    <w:uiPriority w:val="32"/>
    <w:qFormat/>
    <w:rsid w:val="00BB1B37"/>
    <w:rPr>
      <w:b/>
      <w:bCs/>
      <w:smallCaps/>
      <w:color w:val="0F4761" w:themeColor="accent1" w:themeShade="BF"/>
      <w:spacing w:val="5"/>
    </w:rPr>
  </w:style>
  <w:style w:type="table" w:customStyle="1" w:styleId="TableGrid">
    <w:name w:val="TableGrid"/>
    <w:rsid w:val="00BB1B37"/>
    <w:pPr>
      <w:spacing w:after="0" w:line="240" w:lineRule="auto"/>
    </w:pPr>
    <w:rPr>
      <w:rFonts w:eastAsia="Times New Roman"/>
      <w:lang w:eastAsia="es-PE"/>
    </w:rPr>
    <w:tblPr>
      <w:tblCellMar>
        <w:top w:w="0" w:type="dxa"/>
        <w:left w:w="0" w:type="dxa"/>
        <w:bottom w:w="0" w:type="dxa"/>
        <w:right w:w="0" w:type="dxa"/>
      </w:tblCellMar>
    </w:tblPr>
  </w:style>
  <w:style w:type="paragraph" w:styleId="Encabezado">
    <w:name w:val="header"/>
    <w:basedOn w:val="Normal"/>
    <w:link w:val="EncabezadoCar"/>
    <w:uiPriority w:val="99"/>
    <w:unhideWhenUsed/>
    <w:rsid w:val="00BB1B37"/>
    <w:pPr>
      <w:tabs>
        <w:tab w:val="center" w:pos="4252"/>
        <w:tab w:val="right" w:pos="8504"/>
      </w:tabs>
      <w:spacing w:after="0" w:line="240" w:lineRule="auto"/>
    </w:pPr>
  </w:style>
  <w:style w:type="character" w:customStyle="1" w:styleId="EncabezadoCar">
    <w:name w:val="Encabezado Car"/>
    <w:basedOn w:val="Fuentedeprrafopredeter"/>
    <w:link w:val="Encabezado"/>
    <w:uiPriority w:val="99"/>
    <w:qFormat/>
    <w:rsid w:val="00BB1B37"/>
  </w:style>
  <w:style w:type="paragraph" w:styleId="Piedepgina">
    <w:name w:val="footer"/>
    <w:basedOn w:val="Normal"/>
    <w:link w:val="PiedepginaCar"/>
    <w:uiPriority w:val="99"/>
    <w:unhideWhenUsed/>
    <w:rsid w:val="00BB1B37"/>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BB1B3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8</TotalTime>
  <Pages>5</Pages>
  <Words>2082</Words>
  <Characters>11455</Characters>
  <Application>Microsoft Office Word</Application>
  <DocSecurity>0</DocSecurity>
  <Lines>95</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Hospital Regional Cusco</dc:creator>
  <cp:keywords/>
  <dc:description/>
  <cp:lastModifiedBy>Hospital Regional Cusco</cp:lastModifiedBy>
  <cp:revision>4</cp:revision>
  <cp:lastPrinted>2026-06-12T14:48:00Z</cp:lastPrinted>
  <dcterms:created xsi:type="dcterms:W3CDTF">2026-07-20T14:21:00Z</dcterms:created>
  <dcterms:modified xsi:type="dcterms:W3CDTF">2026-07-24T14:04:00Z</dcterms:modified>
</cp:coreProperties>
</file>