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692F7" w14:textId="77777777" w:rsidR="00BB1B37" w:rsidRPr="00BB1B37" w:rsidRDefault="00BB1B37" w:rsidP="00BB1B37">
      <w:pPr>
        <w:spacing w:line="276" w:lineRule="auto"/>
        <w:jc w:val="center"/>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ESPECIFICACIONES TÉCNICAS PARA LA ADQUISICIÓN DEL PRODUCTOS FARMACÉUTICOS ESCENCIALES</w:t>
      </w:r>
    </w:p>
    <w:tbl>
      <w:tblPr>
        <w:tblStyle w:val="TableGrid"/>
        <w:tblW w:w="9377" w:type="dxa"/>
        <w:tblInd w:w="-24" w:type="dxa"/>
        <w:tblCellMar>
          <w:left w:w="110" w:type="dxa"/>
          <w:right w:w="107" w:type="dxa"/>
        </w:tblCellMar>
        <w:tblLook w:val="04A0" w:firstRow="1" w:lastRow="0" w:firstColumn="1" w:lastColumn="0" w:noHBand="0" w:noVBand="1"/>
      </w:tblPr>
      <w:tblGrid>
        <w:gridCol w:w="3282"/>
        <w:gridCol w:w="6095"/>
      </w:tblGrid>
      <w:tr w:rsidR="00BB1B37" w:rsidRPr="00BB1B37" w14:paraId="0589233B" w14:textId="77777777" w:rsidTr="005357F8">
        <w:trPr>
          <w:trHeight w:val="350"/>
        </w:trPr>
        <w:tc>
          <w:tcPr>
            <w:tcW w:w="3282" w:type="dxa"/>
            <w:tcBorders>
              <w:top w:val="single" w:sz="2" w:space="0" w:color="000000"/>
              <w:left w:val="single" w:sz="2" w:space="0" w:color="000000"/>
              <w:bottom w:val="single" w:sz="2" w:space="0" w:color="000000"/>
              <w:right w:val="single" w:sz="2" w:space="0" w:color="000000"/>
            </w:tcBorders>
            <w:vAlign w:val="center"/>
          </w:tcPr>
          <w:p w14:paraId="1860CA81" w14:textId="23AEE6DB"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Area Usuaria</w:t>
            </w:r>
          </w:p>
        </w:tc>
        <w:tc>
          <w:tcPr>
            <w:tcW w:w="6095" w:type="dxa"/>
            <w:tcBorders>
              <w:top w:val="single" w:sz="2" w:space="0" w:color="000000"/>
              <w:left w:val="single" w:sz="2" w:space="0" w:color="000000"/>
              <w:bottom w:val="single" w:sz="2" w:space="0" w:color="000000"/>
              <w:right w:val="single" w:sz="2" w:space="0" w:color="000000"/>
            </w:tcBorders>
            <w:vAlign w:val="center"/>
          </w:tcPr>
          <w:p w14:paraId="544566E4"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Servicio de Farmacia – Hospital Regional Cusco</w:t>
            </w:r>
          </w:p>
        </w:tc>
      </w:tr>
      <w:tr w:rsidR="00BB1B37" w:rsidRPr="00BB1B37" w14:paraId="48426DE7" w14:textId="77777777" w:rsidTr="005357F8">
        <w:trPr>
          <w:trHeight w:val="269"/>
        </w:trPr>
        <w:tc>
          <w:tcPr>
            <w:tcW w:w="3282" w:type="dxa"/>
            <w:tcBorders>
              <w:top w:val="single" w:sz="2" w:space="0" w:color="000000"/>
              <w:left w:val="single" w:sz="2" w:space="0" w:color="000000"/>
              <w:bottom w:val="single" w:sz="2" w:space="0" w:color="000000"/>
              <w:right w:val="single" w:sz="2" w:space="0" w:color="000000"/>
            </w:tcBorders>
            <w:vAlign w:val="center"/>
          </w:tcPr>
          <w:p w14:paraId="79193F35"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Meta Presupuestaria</w:t>
            </w:r>
          </w:p>
        </w:tc>
        <w:tc>
          <w:tcPr>
            <w:tcW w:w="6095" w:type="dxa"/>
            <w:tcBorders>
              <w:top w:val="single" w:sz="2" w:space="0" w:color="000000"/>
              <w:left w:val="single" w:sz="2" w:space="0" w:color="000000"/>
              <w:bottom w:val="single" w:sz="2" w:space="0" w:color="000000"/>
              <w:right w:val="single" w:sz="2" w:space="0" w:color="000000"/>
            </w:tcBorders>
            <w:vAlign w:val="center"/>
          </w:tcPr>
          <w:p w14:paraId="589ADDF9" w14:textId="26D6A992"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p>
        </w:tc>
      </w:tr>
      <w:tr w:rsidR="00BB1B37" w:rsidRPr="00BB1B37" w14:paraId="53BA4D7C" w14:textId="77777777" w:rsidTr="005357F8">
        <w:trPr>
          <w:trHeight w:val="429"/>
        </w:trPr>
        <w:tc>
          <w:tcPr>
            <w:tcW w:w="3282" w:type="dxa"/>
            <w:tcBorders>
              <w:top w:val="single" w:sz="2" w:space="0" w:color="000000"/>
              <w:left w:val="single" w:sz="2" w:space="0" w:color="000000"/>
              <w:bottom w:val="single" w:sz="2" w:space="0" w:color="000000"/>
              <w:right w:val="single" w:sz="2" w:space="0" w:color="000000"/>
            </w:tcBorders>
            <w:vAlign w:val="center"/>
          </w:tcPr>
          <w:p w14:paraId="377F0598"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Actividad del POI</w:t>
            </w:r>
          </w:p>
        </w:tc>
        <w:tc>
          <w:tcPr>
            <w:tcW w:w="6095" w:type="dxa"/>
            <w:tcBorders>
              <w:top w:val="single" w:sz="2" w:space="0" w:color="000000"/>
              <w:left w:val="single" w:sz="2" w:space="0" w:color="000000"/>
              <w:bottom w:val="single" w:sz="2" w:space="0" w:color="000000"/>
              <w:right w:val="single" w:sz="2" w:space="0" w:color="000000"/>
            </w:tcBorders>
            <w:vAlign w:val="center"/>
          </w:tcPr>
          <w:p w14:paraId="1F06676C"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Gestión de Productos Farmacéuticos y Dispositivos Médicos – Proveer de Medicamentos a la población</w:t>
            </w:r>
          </w:p>
        </w:tc>
      </w:tr>
      <w:tr w:rsidR="00BB1B37" w:rsidRPr="00BB1B37" w14:paraId="10A3FF8D" w14:textId="77777777" w:rsidTr="005357F8">
        <w:trPr>
          <w:trHeight w:val="522"/>
        </w:trPr>
        <w:tc>
          <w:tcPr>
            <w:tcW w:w="3282" w:type="dxa"/>
            <w:tcBorders>
              <w:top w:val="single" w:sz="2" w:space="0" w:color="000000"/>
              <w:left w:val="single" w:sz="2" w:space="0" w:color="000000"/>
              <w:bottom w:val="single" w:sz="2" w:space="0" w:color="000000"/>
              <w:right w:val="single" w:sz="2" w:space="0" w:color="000000"/>
            </w:tcBorders>
            <w:vAlign w:val="center"/>
          </w:tcPr>
          <w:p w14:paraId="2D3B712E"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Denominación de la Contratación</w:t>
            </w:r>
          </w:p>
        </w:tc>
        <w:tc>
          <w:tcPr>
            <w:tcW w:w="6095" w:type="dxa"/>
            <w:tcBorders>
              <w:top w:val="single" w:sz="2" w:space="0" w:color="000000"/>
              <w:left w:val="single" w:sz="2" w:space="0" w:color="000000"/>
              <w:bottom w:val="single" w:sz="2" w:space="0" w:color="000000"/>
              <w:right w:val="single" w:sz="2" w:space="0" w:color="000000"/>
            </w:tcBorders>
            <w:vAlign w:val="center"/>
          </w:tcPr>
          <w:p w14:paraId="16681C9A" w14:textId="77777777" w:rsidR="00800A79" w:rsidRDefault="00800A79" w:rsidP="00800A79">
            <w:pPr>
              <w:jc w:val="both"/>
              <w:rPr>
                <w:rFonts w:ascii="Calibri" w:hAnsi="Calibri" w:cs="Calibri"/>
                <w:color w:val="000000"/>
                <w:sz w:val="20"/>
                <w:szCs w:val="20"/>
              </w:rPr>
            </w:pPr>
            <w:r>
              <w:rPr>
                <w:rFonts w:ascii="Calibri" w:hAnsi="Calibri" w:cs="Calibri"/>
                <w:color w:val="000000"/>
                <w:sz w:val="20"/>
                <w:szCs w:val="20"/>
              </w:rPr>
              <w:t>BUPIVACAINA CLORHIDRATO  + DEXTROSA 20MG + 320 MG -INY</w:t>
            </w:r>
          </w:p>
          <w:p w14:paraId="5C71B119" w14:textId="3BEF5B1A" w:rsidR="00BB1B37" w:rsidRPr="00800A79" w:rsidRDefault="00BB1B37" w:rsidP="00BB1B37">
            <w:pPr>
              <w:spacing w:after="33" w:line="226" w:lineRule="auto"/>
              <w:ind w:left="28" w:right="10"/>
              <w:jc w:val="both"/>
              <w:rPr>
                <w:rFonts w:ascii="Times New Roman" w:eastAsia="Calibri" w:hAnsi="Times New Roman" w:cs="Times New Roman"/>
                <w:bCs/>
                <w:color w:val="000000"/>
                <w:kern w:val="0"/>
                <w:sz w:val="20"/>
                <w:szCs w:val="20"/>
                <w14:ligatures w14:val="none"/>
              </w:rPr>
            </w:pPr>
          </w:p>
        </w:tc>
      </w:tr>
    </w:tbl>
    <w:p w14:paraId="7E8F742C"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p>
    <w:p w14:paraId="6068C5C7"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ab/>
        <w:t>Finalidad Pública de la Contratación.</w:t>
      </w:r>
    </w:p>
    <w:p w14:paraId="2E783EA2"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presente requerimiento tiene por finalidad adquirir productos farmacéuticos destinados a conservar, mantener, recuperar y rehabilitar la salud de las personas que reciben prestaciones de salud en el Hospital Regional Cusco</w:t>
      </w:r>
    </w:p>
    <w:p w14:paraId="56079070"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ab/>
        <w:t>Antecedentes.</w:t>
      </w:r>
    </w:p>
    <w:p w14:paraId="7B3CEC61"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Hospital Regional del Cusco mediante el Servicio de Farmacia tiene por finalidad modernizar, optimizar y garantizar los procesos necesarios para el abastecimiento de los recursos estratégicos en salud, permitiendo que los mismos estén disponibles y sean asequibles a la población</w:t>
      </w:r>
    </w:p>
    <w:p w14:paraId="56F9EB41" w14:textId="2C22AA28" w:rsidR="00BB1B37" w:rsidRPr="00BB1B37" w:rsidRDefault="003C20BE" w:rsidP="00BB1B37">
      <w:pPr>
        <w:spacing w:line="276" w:lineRule="auto"/>
        <w:jc w:val="both"/>
        <w:rPr>
          <w:rFonts w:ascii="Times New Roman" w:eastAsia="Calibri" w:hAnsi="Times New Roman" w:cs="Times New Roman"/>
          <w:b/>
          <w:kern w:val="0"/>
          <w:sz w:val="20"/>
          <w:szCs w:val="20"/>
          <w:lang w:val="es-ES"/>
          <w14:ligatures w14:val="none"/>
        </w:rPr>
      </w:pPr>
      <w:r w:rsidRPr="003C20BE">
        <w:rPr>
          <w:noProof/>
        </w:rPr>
        <w:drawing>
          <wp:anchor distT="0" distB="0" distL="114300" distR="114300" simplePos="0" relativeHeight="251660288" behindDoc="0" locked="0" layoutInCell="1" allowOverlap="1" wp14:anchorId="232A1446" wp14:editId="256AFB9D">
            <wp:simplePos x="0" y="0"/>
            <wp:positionH relativeFrom="column">
              <wp:posOffset>243840</wp:posOffset>
            </wp:positionH>
            <wp:positionV relativeFrom="paragraph">
              <wp:posOffset>229870</wp:posOffset>
            </wp:positionV>
            <wp:extent cx="5400040" cy="364490"/>
            <wp:effectExtent l="0" t="0" r="0" b="0"/>
            <wp:wrapSquare wrapText="bothSides"/>
            <wp:docPr id="108895532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40" cy="364490"/>
                    </a:xfrm>
                    <a:prstGeom prst="rect">
                      <a:avLst/>
                    </a:prstGeom>
                    <a:noFill/>
                    <a:ln>
                      <a:noFill/>
                    </a:ln>
                  </pic:spPr>
                </pic:pic>
              </a:graphicData>
            </a:graphic>
            <wp14:sizeRelH relativeFrom="page">
              <wp14:pctWidth>0</wp14:pctWidth>
            </wp14:sizeRelH>
            <wp14:sizeRelV relativeFrom="page">
              <wp14:pctHeight>0</wp14:pctHeight>
            </wp14:sizeRelV>
          </wp:anchor>
        </w:drawing>
      </w:r>
      <w:r w:rsidR="00800A79">
        <w:rPr>
          <w:rFonts w:ascii="Times New Roman" w:eastAsia="Calibri" w:hAnsi="Times New Roman" w:cs="Times New Roman"/>
          <w:b/>
          <w:kern w:val="0"/>
          <w:sz w:val="20"/>
          <w:szCs w:val="20"/>
          <w:lang w:val="es-ES"/>
          <w14:ligatures w14:val="none"/>
        </w:rPr>
        <w:t>3</w:t>
      </w:r>
      <w:r w:rsidR="00BB1B37" w:rsidRPr="00BB1B37">
        <w:rPr>
          <w:rFonts w:ascii="Times New Roman" w:eastAsia="Calibri" w:hAnsi="Times New Roman" w:cs="Times New Roman"/>
          <w:b/>
          <w:kern w:val="0"/>
          <w:sz w:val="20"/>
          <w:szCs w:val="20"/>
          <w:lang w:val="es-ES"/>
          <w14:ligatures w14:val="none"/>
        </w:rPr>
        <w:t>.</w:t>
      </w:r>
      <w:r w:rsidR="00BB1B37" w:rsidRPr="00BB1B37">
        <w:rPr>
          <w:rFonts w:ascii="Times New Roman" w:eastAsia="Calibri" w:hAnsi="Times New Roman" w:cs="Times New Roman"/>
          <w:b/>
          <w:kern w:val="0"/>
          <w:sz w:val="20"/>
          <w:szCs w:val="20"/>
          <w:lang w:val="es-ES"/>
          <w14:ligatures w14:val="none"/>
        </w:rPr>
        <w:tab/>
        <w:t>Alcance y Descripción de los bienes contratar:</w:t>
      </w:r>
    </w:p>
    <w:p w14:paraId="4CC300DE" w14:textId="1BFD6DFC" w:rsidR="00BB1B37" w:rsidRPr="000D5A74" w:rsidRDefault="00BB1B37" w:rsidP="00BB1B37">
      <w:pPr>
        <w:spacing w:line="276" w:lineRule="auto"/>
        <w:jc w:val="both"/>
        <w:rPr>
          <w:rFonts w:ascii="Times New Roman" w:eastAsia="Calibri" w:hAnsi="Times New Roman" w:cs="Times New Roman"/>
          <w:b/>
          <w:kern w:val="0"/>
          <w:sz w:val="20"/>
          <w:szCs w:val="20"/>
          <w:lang w:val="es-ES"/>
          <w14:ligatures w14:val="none"/>
        </w:rPr>
      </w:pPr>
    </w:p>
    <w:p w14:paraId="70051FD5" w14:textId="7ECF43C0"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4.1 Características Técnicas:</w:t>
      </w:r>
    </w:p>
    <w:p w14:paraId="0FA330C2"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producto farmacéutico objeto de la presente contratación, deben contar con las siguientes características:</w:t>
      </w:r>
    </w:p>
    <w:p w14:paraId="0292380E"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Deben cumplir cada una de las características de calidad según los requisitos establecidos en la farmacopea vigente a la cual se acoge, acorde a lo autorizado en su Registro Sanitario. Cuando la forma farmacéutica del producto farmacéutico no se encuentre en las farmacopeas aceptadas por ley, el producto farmacéutico deberá cumplir con las especificaciones técnicas de calidad declaradas en la técnica analítica propia del fabricante de acuerdo a lo aceptado en su Registro Sanitario.</w:t>
      </w:r>
    </w:p>
    <w:p w14:paraId="6135A264" w14:textId="5C6662FD"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4.2 Condiciones de Operación:</w:t>
      </w:r>
    </w:p>
    <w:p w14:paraId="61A3C60B" w14:textId="77777777" w:rsid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1FA55D41" w14:textId="77777777" w:rsidR="00414FB2" w:rsidRPr="00BB1B37" w:rsidRDefault="00414FB2" w:rsidP="00BB1B37">
      <w:pPr>
        <w:spacing w:line="276" w:lineRule="auto"/>
        <w:jc w:val="both"/>
        <w:rPr>
          <w:rFonts w:ascii="Times New Roman" w:eastAsia="Calibri" w:hAnsi="Times New Roman" w:cs="Times New Roman"/>
          <w:bCs/>
          <w:kern w:val="0"/>
          <w:sz w:val="20"/>
          <w:szCs w:val="20"/>
          <w:lang w:val="es-ES"/>
          <w14:ligatures w14:val="none"/>
        </w:rPr>
      </w:pPr>
    </w:p>
    <w:p w14:paraId="62F18D87"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 Embalaje y Rotulo:</w:t>
      </w:r>
    </w:p>
    <w:p w14:paraId="67CF65B5"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4.3.1. Envase</w:t>
      </w:r>
    </w:p>
    <w:p w14:paraId="1A7DBFA7" w14:textId="77777777" w:rsidR="00BB1B37" w:rsidRPr="00BB1B37" w:rsidRDefault="00BB1B37" w:rsidP="00BB1B37">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inmediato: Envase según lo autorizado en el Registro Sanitario, que asegure la conservación y hermeticidad del producto, el mismo que deberá contener rotulado impreso.</w:t>
      </w:r>
    </w:p>
    <w:p w14:paraId="652E168C" w14:textId="77777777" w:rsidR="00BB1B37" w:rsidRPr="00BB1B37" w:rsidRDefault="00BB1B37" w:rsidP="00BB1B37">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mediato: Envase autorizado en el Registro Sanitario, que permita proteger el producto durante su transporte y almacenamiento.</w:t>
      </w:r>
    </w:p>
    <w:p w14:paraId="3423F17F" w14:textId="77777777" w:rsidR="00BB1B37" w:rsidRPr="00BB1B37" w:rsidRDefault="00BB1B37" w:rsidP="00BB1B37">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61F4598B"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4.3.2. Embalaje</w:t>
      </w:r>
    </w:p>
    <w:p w14:paraId="761C237A"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embalaje de los productos farmacéuticos deberá cumplir con los siguientes requisitos: </w:t>
      </w:r>
    </w:p>
    <w:p w14:paraId="3089F46F" w14:textId="77777777" w:rsidR="00BB1B37" w:rsidRPr="00BB1B37" w:rsidRDefault="00BB1B37" w:rsidP="00BB1B37">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lastRenderedPageBreak/>
        <w:t>Cajas de cartón nuevas que garanticen la integridad, orden, conservación, transporte y adecuado almacenamiento.</w:t>
      </w:r>
    </w:p>
    <w:p w14:paraId="37731C91" w14:textId="77777777" w:rsidR="00BB1B37" w:rsidRPr="00BB1B37" w:rsidRDefault="00BB1B37" w:rsidP="00BB1B37">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que faciliten su conteo y fácil apilamiento, precisando el número de cajas apilables, será el que determine el fabricante para su proceso de almacenaje.</w:t>
      </w:r>
    </w:p>
    <w:p w14:paraId="561BC323" w14:textId="77777777" w:rsidR="00BB1B37" w:rsidRPr="00BB1B37" w:rsidRDefault="00BB1B37" w:rsidP="00BB1B37">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debidamente rotuladas indicando nombre del Producto Farmacéutico, concentración, forma farmacéutica, presentación, cantidad, lote, fecha de vencimiento, nombre del proveedor, especificaciones para la conservación y almacenamiento.</w:t>
      </w:r>
    </w:p>
    <w:p w14:paraId="0219F51A" w14:textId="77777777" w:rsidR="00BB1B37" w:rsidRPr="00BB1B37" w:rsidRDefault="00BB1B37" w:rsidP="00BB1B37">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Dicha información podrá ser indicada en etiquetas. Aplica a caja master, es decir a caja completa del Producto Farmacéutico.</w:t>
      </w:r>
    </w:p>
    <w:p w14:paraId="3D93BD3B" w14:textId="77777777" w:rsidR="00BB1B37" w:rsidRPr="00BB1B37" w:rsidRDefault="00BB1B37" w:rsidP="00BB1B37">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67CF56F9"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4.3.3. Rotulado de los envases mediato e inmediato</w:t>
      </w:r>
    </w:p>
    <w:p w14:paraId="184886CB"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Los rotulados de los envases mediato e inmediato, deben corresponder al producto farmacéutico terminado de acuerdo a lo autorizado en su Registro Sanitario; debe ser impresa con tinta indeleble y resistente a la manipulación. Tratándose del número de lote y fecha de expiración, éstos también podrán ser impresos en alto o bajo relieve.</w:t>
      </w:r>
    </w:p>
    <w:p w14:paraId="3167E8A6"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4.3.4. Inserto</w:t>
      </w:r>
    </w:p>
    <w:p w14:paraId="7A54E60B"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Es obligatorio la inclusión del inserto con la información autorizada en su registro sanitario, según corresponda </w:t>
      </w:r>
    </w:p>
    <w:p w14:paraId="260A279D"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 xml:space="preserve"> 4.4. Vigencia del producto:</w:t>
      </w:r>
    </w:p>
    <w:p w14:paraId="6E9E7000" w14:textId="1B1CF7C5" w:rsidR="00BB1B37" w:rsidRPr="00BB1B37" w:rsidRDefault="00BB1B37" w:rsidP="00BB1B37">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La vigencia mínima del medicamento debe ser igual o mayor </w:t>
      </w:r>
      <w:r w:rsidR="00414FB2">
        <w:rPr>
          <w:rFonts w:ascii="Times New Roman" w:eastAsia="Times New Roman" w:hAnsi="Times New Roman" w:cs="Times New Roman"/>
          <w:bCs/>
          <w:kern w:val="0"/>
          <w:sz w:val="20"/>
          <w:szCs w:val="20"/>
          <w:lang w:val="es-ES" w:eastAsia="es-ES"/>
          <w14:ligatures w14:val="none"/>
        </w:rPr>
        <w:t xml:space="preserve">a </w:t>
      </w:r>
      <w:r w:rsidRPr="00BB1B37">
        <w:rPr>
          <w:rFonts w:ascii="Times New Roman" w:eastAsia="Times New Roman" w:hAnsi="Times New Roman" w:cs="Times New Roman"/>
          <w:bCs/>
          <w:kern w:val="0"/>
          <w:sz w:val="20"/>
          <w:szCs w:val="20"/>
          <w:lang w:val="es-ES" w:eastAsia="es-ES"/>
          <w14:ligatures w14:val="none"/>
        </w:rPr>
        <w:t>dieciocho (18) meses, al momento de la entrega en el almacén de la entidad.</w:t>
      </w:r>
    </w:p>
    <w:p w14:paraId="4F3B9228" w14:textId="77777777" w:rsidR="00BB1B37" w:rsidRPr="00BB1B37" w:rsidRDefault="00BB1B37" w:rsidP="00BB1B37">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Para el caso de una vigencia igual o mayor a doce (12) meses, el proveedor deberá adjuntar una carta de compromiso de canje por vencimiento, el cual será presentado al momento de internar el producto correspondiente.</w:t>
      </w:r>
    </w:p>
    <w:p w14:paraId="3B62E093"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plazo de entrega contado a partir del día siguiente de notificada la orden de compra de acuerdo al cronograma establecido.</w:t>
      </w:r>
    </w:p>
    <w:p w14:paraId="4C3C95AD" w14:textId="7B64497D" w:rsidR="00BB1B37" w:rsidRPr="00BB1B37" w:rsidRDefault="00414FB2" w:rsidP="00BB1B37">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00BB1B37" w:rsidRPr="00BB1B37">
        <w:rPr>
          <w:rFonts w:ascii="Times New Roman" w:eastAsia="Calibri" w:hAnsi="Times New Roman" w:cs="Times New Roman"/>
          <w:b/>
          <w:kern w:val="0"/>
          <w:sz w:val="20"/>
          <w:szCs w:val="20"/>
          <w:lang w:val="es-ES"/>
          <w14:ligatures w14:val="none"/>
        </w:rPr>
        <w:t>. Lugar y plazo de entrega</w:t>
      </w:r>
    </w:p>
    <w:p w14:paraId="4B46EA9C" w14:textId="529E4FA3" w:rsidR="00BB1B37" w:rsidRPr="00BB1B37" w:rsidRDefault="00BB1B37" w:rsidP="00BB1B37">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Almacén de Medicamentos del Hospital Regional Cusco, Avenida de la Cultura s/n (Referencia, frente a la Puerta de Medicina UNSAAC), en horario de atención de lunes a sábado de 7:</w:t>
      </w:r>
      <w:r w:rsidR="00414FB2">
        <w:rPr>
          <w:rFonts w:ascii="Times New Roman" w:eastAsia="Calibri" w:hAnsi="Times New Roman" w:cs="Times New Roman"/>
          <w:bCs/>
          <w:kern w:val="0"/>
          <w:sz w:val="20"/>
          <w:szCs w:val="20"/>
          <w:lang w:val="es-ES"/>
          <w14:ligatures w14:val="none"/>
        </w:rPr>
        <w:t>3</w:t>
      </w:r>
      <w:r w:rsidRPr="00BB1B37">
        <w:rPr>
          <w:rFonts w:ascii="Times New Roman" w:eastAsia="Calibri" w:hAnsi="Times New Roman" w:cs="Times New Roman"/>
          <w:bCs/>
          <w:kern w:val="0"/>
          <w:sz w:val="20"/>
          <w:szCs w:val="20"/>
          <w:lang w:val="es-ES"/>
          <w14:ligatures w14:val="none"/>
        </w:rPr>
        <w:t xml:space="preserve">0 a.m. a 12:00 m. </w:t>
      </w:r>
    </w:p>
    <w:p w14:paraId="629787CC" w14:textId="0D1863E8" w:rsidR="00BB1B37" w:rsidRPr="00BB1B37" w:rsidRDefault="00414FB2" w:rsidP="00BB1B37">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00BB1B37" w:rsidRPr="00BB1B37">
        <w:rPr>
          <w:rFonts w:ascii="Times New Roman" w:eastAsia="Calibri" w:hAnsi="Times New Roman" w:cs="Times New Roman"/>
          <w:b/>
          <w:kern w:val="0"/>
          <w:sz w:val="20"/>
          <w:szCs w:val="20"/>
          <w:lang w:val="es-ES"/>
          <w14:ligatures w14:val="none"/>
        </w:rPr>
        <w:t>.1.  Plazo de entrega:</w:t>
      </w:r>
    </w:p>
    <w:p w14:paraId="6A4179F1" w14:textId="29C6360A" w:rsidR="00BB1B37" w:rsidRDefault="00BB1B37" w:rsidP="00BB1B37">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entrega de los bienes, se realizará en un plazo de (</w:t>
      </w:r>
      <w:r w:rsidR="00800A79">
        <w:rPr>
          <w:rFonts w:ascii="Times New Roman" w:eastAsia="Calibri" w:hAnsi="Times New Roman" w:cs="Times New Roman"/>
          <w:bCs/>
          <w:kern w:val="0"/>
          <w:sz w:val="20"/>
          <w:szCs w:val="20"/>
          <w:lang w:val="es-ES"/>
          <w14:ligatures w14:val="none"/>
        </w:rPr>
        <w:t>10</w:t>
      </w:r>
      <w:r w:rsidRPr="00BB1B37">
        <w:rPr>
          <w:rFonts w:ascii="Times New Roman" w:eastAsia="Calibri" w:hAnsi="Times New Roman" w:cs="Times New Roman"/>
          <w:bCs/>
          <w:kern w:val="0"/>
          <w:sz w:val="20"/>
          <w:szCs w:val="20"/>
          <w:lang w:val="es-ES"/>
          <w14:ligatures w14:val="none"/>
        </w:rPr>
        <w:t xml:space="preserve">) días calendarios, computado a partir del día siguiente de la </w:t>
      </w:r>
      <w:r w:rsidR="00800A79">
        <w:rPr>
          <w:rFonts w:ascii="Times New Roman" w:eastAsia="Calibri" w:hAnsi="Times New Roman" w:cs="Times New Roman"/>
          <w:bCs/>
          <w:kern w:val="0"/>
          <w:sz w:val="20"/>
          <w:szCs w:val="20"/>
          <w:lang w:val="es-ES"/>
          <w14:ligatures w14:val="none"/>
        </w:rPr>
        <w:t>notifica</w:t>
      </w:r>
      <w:r w:rsidRPr="00BB1B37">
        <w:rPr>
          <w:rFonts w:ascii="Times New Roman" w:eastAsia="Calibri" w:hAnsi="Times New Roman" w:cs="Times New Roman"/>
          <w:bCs/>
          <w:kern w:val="0"/>
          <w:sz w:val="20"/>
          <w:szCs w:val="20"/>
          <w:lang w:val="es-ES"/>
          <w14:ligatures w14:val="none"/>
        </w:rPr>
        <w:t>ción de la Orden de Compra.</w:t>
      </w:r>
    </w:p>
    <w:p w14:paraId="3219A57F" w14:textId="77777777" w:rsidR="00414FB2" w:rsidRDefault="00414FB2" w:rsidP="00BB1B37">
      <w:pPr>
        <w:spacing w:line="240" w:lineRule="auto"/>
        <w:jc w:val="both"/>
        <w:rPr>
          <w:rFonts w:ascii="Times New Roman" w:eastAsia="Calibri" w:hAnsi="Times New Roman" w:cs="Times New Roman"/>
          <w:bCs/>
          <w:kern w:val="0"/>
          <w:sz w:val="20"/>
          <w:szCs w:val="20"/>
          <w:lang w:val="es-ES"/>
          <w14:ligatures w14:val="none"/>
        </w:rPr>
      </w:pPr>
    </w:p>
    <w:p w14:paraId="1200C868" w14:textId="77777777" w:rsidR="00414FB2" w:rsidRPr="00BB1B37" w:rsidRDefault="00414FB2" w:rsidP="00BB1B37">
      <w:pPr>
        <w:spacing w:line="240" w:lineRule="auto"/>
        <w:jc w:val="both"/>
        <w:rPr>
          <w:rFonts w:ascii="Times New Roman" w:eastAsia="Calibri" w:hAnsi="Times New Roman" w:cs="Times New Roman"/>
          <w:bCs/>
          <w:kern w:val="0"/>
          <w:sz w:val="20"/>
          <w:szCs w:val="20"/>
          <w:lang w:val="es-ES"/>
          <w14:ligatures w14:val="none"/>
        </w:rPr>
      </w:pPr>
    </w:p>
    <w:p w14:paraId="6CF014C6" w14:textId="2FA79F1F" w:rsidR="00BB1B37" w:rsidRPr="00BB1B37" w:rsidRDefault="00414FB2" w:rsidP="00BB1B37">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6</w:t>
      </w:r>
      <w:r w:rsidR="00BB1B37" w:rsidRPr="00BB1B37">
        <w:rPr>
          <w:rFonts w:ascii="Times New Roman" w:eastAsia="Calibri" w:hAnsi="Times New Roman" w:cs="Times New Roman"/>
          <w:b/>
          <w:kern w:val="0"/>
          <w:sz w:val="20"/>
          <w:szCs w:val="20"/>
          <w:lang w:val="es-ES"/>
          <w14:ligatures w14:val="none"/>
        </w:rPr>
        <w:t>. Consideraciones para la recepción de los Bienes</w:t>
      </w:r>
    </w:p>
    <w:p w14:paraId="5159E44B"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el Acto de Recepción de los bienes que formaran parte de la entrega, el proveedor deberá entregar en el Almacen de Medicamentos del Hospital Regional Cusco, copia simple de los siguientes documentos, a fin de llevar a cabo la conformidad de recepción:</w:t>
      </w:r>
    </w:p>
    <w:p w14:paraId="0097EE89" w14:textId="77777777" w:rsidR="00BB1B37" w:rsidRPr="00BB1B37" w:rsidRDefault="00BB1B37" w:rsidP="00BB1B37">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Orden de Compra — Guía de Internamiento (copia).</w:t>
      </w:r>
    </w:p>
    <w:p w14:paraId="5FA6B6B7" w14:textId="77777777" w:rsidR="00BB1B37" w:rsidRPr="00BB1B37" w:rsidRDefault="00BB1B37" w:rsidP="00BB1B37">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Guía de Remisión (Destinatario + SUNAT + 02 Copias adicionales). Esta deberá consignar en forma obligatoria para cada ítem el número de lote y la cantidad entregada por lote. </w:t>
      </w:r>
    </w:p>
    <w:p w14:paraId="6BA677D2" w14:textId="77777777" w:rsidR="00BB1B37" w:rsidRPr="00BB1B37" w:rsidRDefault="00BB1B37" w:rsidP="00BB1B37">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Copia simple de la Resolución Directoral del Registro Sanitario o Certificado de Registro Sanitario vigente; de acuerdo a los requisitos documentarios mínimos del proveedor del bien.</w:t>
      </w:r>
    </w:p>
    <w:p w14:paraId="6C4F94D8" w14:textId="77777777" w:rsidR="00BB1B37" w:rsidRPr="00BB1B37" w:rsidRDefault="00BB1B37" w:rsidP="00BB1B37">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lastRenderedPageBreak/>
        <w:t xml:space="preserve">Copia del Certificado de Análisis emitido por el fabricante o quien encarga su fabricación, según lo dispuesto en la norma correspondiente. </w:t>
      </w:r>
    </w:p>
    <w:p w14:paraId="1D2E4D90"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Almacen de Medicamentos del Hospital Regional Cusco no está obligado a recibir los bienes si no han sido presentados todos los documentos que corresponde a la entrega, o si se detecta que no corresponde el producto con lo solicitado (vigencia del producto, forma de presentación, logotipo, entre otros). </w:t>
      </w:r>
    </w:p>
    <w:p w14:paraId="14624669" w14:textId="5639C225" w:rsidR="00BB1B37" w:rsidRPr="00BB1B37" w:rsidRDefault="00414FB2" w:rsidP="00BB1B37">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7</w:t>
      </w:r>
      <w:r w:rsidR="00BB1B37" w:rsidRPr="00BB1B37">
        <w:rPr>
          <w:rFonts w:ascii="Times New Roman" w:eastAsia="Calibri" w:hAnsi="Times New Roman" w:cs="Times New Roman"/>
          <w:b/>
          <w:kern w:val="0"/>
          <w:sz w:val="20"/>
          <w:szCs w:val="20"/>
          <w:lang w:val="es-ES"/>
          <w14:ligatures w14:val="none"/>
        </w:rPr>
        <w:t>. Conformidad</w:t>
      </w:r>
    </w:p>
    <w:p w14:paraId="1933ED5C"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la prestación se regula por lo dispuesto en el artículo 144 del RLGCP, de acuerdo a lo siguiente:</w:t>
      </w:r>
    </w:p>
    <w:p w14:paraId="78259346"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será otorgada a través del Informe emitido por el jefe del Almacen de Medicamentos del Hospital Regional Cusco en un plazo máximo de siete (7) días de producida la recepción.</w:t>
      </w:r>
    </w:p>
    <w:p w14:paraId="548FCEC1"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Para efectos de la emisión de la conformidad, el contratista debe presentar la siguiente documentación:</w:t>
      </w:r>
    </w:p>
    <w:p w14:paraId="2BFB925D" w14:textId="77777777" w:rsidR="00BB1B37" w:rsidRPr="00BB1B37" w:rsidRDefault="00BB1B37" w:rsidP="00BB1B37">
      <w:pPr>
        <w:numPr>
          <w:ilvl w:val="0"/>
          <w:numId w:val="7"/>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Guía de Remisión (Destinatario + SUNAT), debidamente suscrito detallando la fecha de recepción de los bienes.</w:t>
      </w:r>
    </w:p>
    <w:p w14:paraId="6D2AC1DD"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De existir observaciones, El Almacen de Medicamentos del Hospital Regional Cusco, las comunica al CONTRATISTA, indicando claramente el sentido de estas, otorgándole un plazo para subsanar el cual no debe ser mayor al 30% del plazo del entregable correspondiente, dependiendo de la complejidad o sofisticación de las subsanaciones a realizar. Si pese al plazo otorgado, EL CONTRATISTA no cumpliese a cabalidad con la subsanación, la Entidad puede otorgar al CONTRATISTA periodos adicionales para las correcciones pertinentes. En este supuesto corresponde aplicar la penalidad por mora desde el vencimiento del plazo para subsanar sin considerar los días en los que pudiera incurrir la DEC para efectuar las revisiones y notificar las observaciones correspondientes.</w:t>
      </w:r>
    </w:p>
    <w:p w14:paraId="1C5C3173"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Este procedimiento no resulta aplicable cuando los bienes manifiestamente no cumplan con las características y condiciones ofrecidas, en cuyo caso El Almacen de Medicamentos del Hospital Regional Cusco no efectúa la recepción o no otorga la conformidad, según corresponda, debiendo considerarse como no ejecutada la prestación, aplicándose la penalidad que corresponda por cada día de atraso.</w:t>
      </w:r>
    </w:p>
    <w:p w14:paraId="17E1CD7D" w14:textId="416BBDEC" w:rsidR="00BB1B37" w:rsidRPr="00BB1B37" w:rsidRDefault="00414FB2" w:rsidP="00BB1B37">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8</w:t>
      </w:r>
      <w:r w:rsidR="00BB1B37" w:rsidRPr="00BB1B37">
        <w:rPr>
          <w:rFonts w:ascii="Times New Roman" w:eastAsia="Calibri" w:hAnsi="Times New Roman" w:cs="Times New Roman"/>
          <w:b/>
          <w:kern w:val="0"/>
          <w:sz w:val="20"/>
          <w:szCs w:val="20"/>
          <w:lang w:val="es-ES"/>
          <w14:ligatures w14:val="none"/>
        </w:rPr>
        <w:t>. Forma y Condiciones de Pago:</w:t>
      </w:r>
    </w:p>
    <w:p w14:paraId="4C94FD8A"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pago se realizará en una sola armada, de conformidad con lo establecido en el artículo 67 de la Ley.</w:t>
      </w:r>
    </w:p>
    <w:p w14:paraId="183CDE1F" w14:textId="1E620718" w:rsidR="00BB1B37" w:rsidRDefault="00BB1B37" w:rsidP="00414FB2">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 Entidad paga las contraprestaciones pactadas a favor del contratista dentro de los diez (10) días hábiles siguientes de otorgada la conformidad por parte del área usuaria y es prorrogable, previa justificación de la demora, por cinco días hábiles. La Entidad realiza el pago de la contraprestación pactada a favor del contratista en SOLES, en un PAGO ÚNICO, luego de la recepción formal y completa de la documentación correspondiente, según lo establecido en el artículo 144 del Reglamento de la Ley N° 32069, Ley General de Contrataciones Públicas, aprobado por Decreto Supremo N O 009-2025-EF. </w:t>
      </w:r>
    </w:p>
    <w:p w14:paraId="18F91A4D" w14:textId="77777777" w:rsidR="00414FB2" w:rsidRDefault="00414FB2" w:rsidP="00414FB2">
      <w:pPr>
        <w:spacing w:line="276" w:lineRule="auto"/>
        <w:jc w:val="both"/>
        <w:rPr>
          <w:rFonts w:ascii="Times New Roman" w:eastAsia="Calibri" w:hAnsi="Times New Roman" w:cs="Times New Roman"/>
          <w:bCs/>
          <w:kern w:val="0"/>
          <w:sz w:val="20"/>
          <w:szCs w:val="20"/>
          <w:lang w:val="es-ES"/>
          <w14:ligatures w14:val="none"/>
        </w:rPr>
      </w:pPr>
    </w:p>
    <w:p w14:paraId="72220A0D"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Penalidades</w:t>
      </w:r>
    </w:p>
    <w:p w14:paraId="1EE876CE"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caso de retraso injustificado del contratista en la ejecución de las prestaciones objeto del contrato, la DEC le aplica automáticamente una penalidad por mora por cada día de atraso que le sea imputable, La penalidad se aplica automáticamente y se calcula de acuerdo con la siguiente fórmula:</w:t>
      </w:r>
    </w:p>
    <w:p w14:paraId="57228DD5"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noProof/>
          <w:kern w:val="0"/>
          <w:sz w:val="20"/>
          <w:szCs w:val="20"/>
          <w:lang w:val="es-ES"/>
          <w14:ligatures w14:val="none"/>
        </w:rPr>
        <mc:AlternateContent>
          <mc:Choice Requires="wps">
            <w:drawing>
              <wp:anchor distT="0" distB="0" distL="114300" distR="114300" simplePos="0" relativeHeight="251659264" behindDoc="0" locked="0" layoutInCell="1" allowOverlap="1" wp14:anchorId="1AF40A84" wp14:editId="1F44285F">
                <wp:simplePos x="0" y="0"/>
                <wp:positionH relativeFrom="column">
                  <wp:posOffset>1529715</wp:posOffset>
                </wp:positionH>
                <wp:positionV relativeFrom="paragraph">
                  <wp:posOffset>195579</wp:posOffset>
                </wp:positionV>
                <wp:extent cx="819150" cy="0"/>
                <wp:effectExtent l="0" t="0" r="0" b="0"/>
                <wp:wrapNone/>
                <wp:docPr id="1950835075" name="Conector recto 736"/>
                <wp:cNvGraphicFramePr/>
                <a:graphic xmlns:a="http://schemas.openxmlformats.org/drawingml/2006/main">
                  <a:graphicData uri="http://schemas.microsoft.com/office/word/2010/wordprocessingShape">
                    <wps:wsp>
                      <wps:cNvCnPr/>
                      <wps:spPr>
                        <a:xfrm flipV="1">
                          <a:off x="0" y="0"/>
                          <a:ext cx="819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3C48290" id="Conector recto 736"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45pt,15.4pt" to="184.9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" strokecolor="windowText" strokeweight=".5pt">
                <v:stroke joinstyle="miter"/>
              </v:line>
            </w:pict>
          </mc:Fallback>
        </mc:AlternateContent>
      </w:r>
      <w:r w:rsidRPr="00BB1B37">
        <w:rPr>
          <w:rFonts w:ascii="Times New Roman" w:eastAsia="Calibri" w:hAnsi="Times New Roman" w:cs="Times New Roman"/>
          <w:bCs/>
          <w:kern w:val="0"/>
          <w:sz w:val="20"/>
          <w:szCs w:val="20"/>
          <w:lang w:val="es-ES"/>
          <w14:ligatures w14:val="none"/>
        </w:rPr>
        <w:tab/>
        <w:t>Penalidad diaria    =    0.10 X monto</w:t>
      </w:r>
    </w:p>
    <w:p w14:paraId="63A80BC7"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FX plazo en días</w:t>
      </w:r>
    </w:p>
    <w:p w14:paraId="40D8C49C"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Donde F tiene los siguientes valores: F 0.40</w:t>
      </w:r>
    </w:p>
    <w:p w14:paraId="56FB5D0D"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lastRenderedPageBreak/>
        <w:t>Tanto el monto como el plazo se refieren, según corresponda, al monto vigente del contrato, componente o ítem que debió ejecutarse o, en caso de que estos involucren entregables cuantificables en monto y plazo, al monto y plazo del entregable que fuera materia de retraso.El retraso se justifica a través de la solicitud de ampliación de plazo debidamente aprobado.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Jefatura de Farmacia no da lugar al pago de gastos generales ni costos directos de ningún tipo, conforme al numeral 120,4 del artículo 120 del Reglamento de la Ley N O 32069, Ley General de Contrataciones Públicas, aprobado por Decreto Supremo N O 009-2025-EF. Las penalidades se deducen de los pagos a cuenta, pagos parciales o del pago final, según corresponda.</w:t>
      </w:r>
    </w:p>
    <w:p w14:paraId="042DA766" w14:textId="78274046" w:rsidR="00BB1B37" w:rsidRPr="00BB1B37" w:rsidRDefault="00414FB2" w:rsidP="00BB1B37">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9</w:t>
      </w:r>
      <w:r w:rsidR="00BB1B37" w:rsidRPr="00BB1B37">
        <w:rPr>
          <w:rFonts w:ascii="Times New Roman" w:eastAsia="Calibri" w:hAnsi="Times New Roman" w:cs="Times New Roman"/>
          <w:b/>
          <w:kern w:val="0"/>
          <w:sz w:val="20"/>
          <w:szCs w:val="20"/>
          <w:lang w:val="es-ES"/>
          <w14:ligatures w14:val="none"/>
        </w:rPr>
        <w:t>. Responsabilidad por Vicios Ocultos</w:t>
      </w:r>
      <w:r w:rsidR="00BB1B37" w:rsidRPr="00BB1B37">
        <w:rPr>
          <w:rFonts w:ascii="Times New Roman" w:eastAsia="Calibri" w:hAnsi="Times New Roman" w:cs="Times New Roman"/>
          <w:b/>
          <w:kern w:val="0"/>
          <w:sz w:val="20"/>
          <w:szCs w:val="20"/>
          <w:lang w:val="es-ES"/>
          <w14:ligatures w14:val="none"/>
        </w:rPr>
        <w:tab/>
      </w:r>
    </w:p>
    <w:p w14:paraId="667BA834" w14:textId="50AC30D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 conformidad de recepción de la prestación por parte de LA ENTIDAD no enerva su derecho a reclamar posteriormente por defectos o vicios u otras situaciones anómalas no detectables o no verificables durante la recepción de los productos farmacéuticos, por causas atribuibles al Contratista, debiendo proceder a la reposición o canje total del lote de los bienes que se hayan detectado en las situaciones descritas. El plazo máximo de responsabilidad del contratista es de dos (2) años, contados a partir de la conformidad otorgada por LA </w:t>
      </w:r>
      <w:r w:rsidR="00414FB2" w:rsidRPr="00BB1B37">
        <w:rPr>
          <w:rFonts w:ascii="Times New Roman" w:eastAsia="Calibri" w:hAnsi="Times New Roman" w:cs="Times New Roman"/>
          <w:bCs/>
          <w:kern w:val="0"/>
          <w:sz w:val="20"/>
          <w:szCs w:val="20"/>
          <w:lang w:val="es-ES"/>
          <w14:ligatures w14:val="none"/>
        </w:rPr>
        <w:t>ENTIDAD El</w:t>
      </w:r>
      <w:r w:rsidRPr="00BB1B37">
        <w:rPr>
          <w:rFonts w:ascii="Times New Roman" w:eastAsia="Calibri" w:hAnsi="Times New Roman" w:cs="Times New Roman"/>
          <w:bCs/>
          <w:kern w:val="0"/>
          <w:sz w:val="20"/>
          <w:szCs w:val="20"/>
          <w:lang w:val="es-ES"/>
          <w14:ligatures w14:val="none"/>
        </w:rPr>
        <w:t xml:space="preserve"> proveedor deberá presentar Declaración Jurada de Compromiso de Canje y/o reposición por vicios ocultos, los productos a ingresar en el canje tendrán una vigencia igual o mayor a lo ofertado en el proceso de selección</w:t>
      </w:r>
    </w:p>
    <w:p w14:paraId="7EE64811" w14:textId="043C4871"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sidR="000F15D7">
        <w:rPr>
          <w:rFonts w:ascii="Times New Roman" w:eastAsia="Calibri" w:hAnsi="Times New Roman" w:cs="Times New Roman"/>
          <w:b/>
          <w:kern w:val="0"/>
          <w:sz w:val="20"/>
          <w:szCs w:val="20"/>
          <w:lang w:val="es-ES"/>
          <w14:ligatures w14:val="none"/>
        </w:rPr>
        <w:t>0</w:t>
      </w:r>
      <w:r w:rsidRPr="00BB1B37">
        <w:rPr>
          <w:rFonts w:ascii="Times New Roman" w:eastAsia="Calibri" w:hAnsi="Times New Roman" w:cs="Times New Roman"/>
          <w:b/>
          <w:kern w:val="0"/>
          <w:sz w:val="20"/>
          <w:szCs w:val="20"/>
          <w:lang w:val="es-ES"/>
          <w14:ligatures w14:val="none"/>
        </w:rPr>
        <w:t>. Gestión de Riesgos</w:t>
      </w:r>
    </w:p>
    <w:p w14:paraId="6367A5EA"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Las partes realizan la gestión de riesgos de acuerdo con lo establecido en el presente documento, a fin de tomar decisiones informadas, aprovechando el impacto de riesgos positivos y disminuyendo la probabilidad de los riesgos negativos y su impacto durante la ejecución contractual, considerando la finalidad pública de la contratación. </w:t>
      </w:r>
    </w:p>
    <w:p w14:paraId="1A54F806" w14:textId="695338DB"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sidR="000F15D7">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 Anticorrupción y Antisoborno</w:t>
      </w:r>
    </w:p>
    <w:p w14:paraId="48BBB4E1"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 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dependencia encargada de la contratación, actores del proceso de contratación y/o cualquier servidor de la Entidad, con la finalidad de obtener alguna ventaja indebida o beneficio ilícito, En esa línea, se obliga a adoptar las medidas técnicas, organizativas y/o de personal necesarias para asegurar que no se practiquen los actos previamente señalados. Adicionalmente, EL CONTRATISTA se compromete a denunciar oportunamente ante las autoridades competentes los actos de corrupción o de inconducta funcional de los cuales tuviera conocimiento durante la ejecución del contrato con la Entidad. 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Finalmente, el incumplimiento de las obligaciones establecidas en esta cláusula, durante la ejecución contractual, otorga a la Entidad el derecho de resolver total o parcialmente el contrato. Cuando lo anterior se produzca por parte de un proveedor adjudicatario de los catálogos electrónicos de acuerdo marco, el incumplimiento de la presente cláusula conllevará que sea excluido de </w:t>
      </w:r>
      <w:r w:rsidRPr="00BB1B37">
        <w:rPr>
          <w:rFonts w:ascii="Times New Roman" w:eastAsia="Calibri" w:hAnsi="Times New Roman" w:cs="Times New Roman"/>
          <w:bCs/>
          <w:kern w:val="0"/>
          <w:sz w:val="20"/>
          <w:szCs w:val="20"/>
          <w:lang w:val="es-ES"/>
          <w14:ligatures w14:val="none"/>
        </w:rPr>
        <w:lastRenderedPageBreak/>
        <w:t xml:space="preserve">los Catálogos Electrónicos de Acuerdo Marco. En ningún caso, dichas medidas impiden el inicio de las acciones civiles, penales y administrativas a que hubiera lugar. </w:t>
      </w:r>
    </w:p>
    <w:p w14:paraId="6416E624" w14:textId="318F9A81"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sidR="000F15D7">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 xml:space="preserve">. Solución de Controversias Contractuales: </w:t>
      </w:r>
      <w:r w:rsidRPr="00BB1B37">
        <w:rPr>
          <w:rFonts w:ascii="Times New Roman" w:eastAsia="Calibri" w:hAnsi="Times New Roman" w:cs="Times New Roman"/>
          <w:bCs/>
          <w:kern w:val="0"/>
          <w:sz w:val="20"/>
          <w:szCs w:val="20"/>
          <w:lang w:val="es-ES"/>
          <w14:ligatures w14:val="none"/>
        </w:rPr>
        <w:t xml:space="preserve">Las controversias que surjan entre las partes durante la ejecución del contrato se resuelven mediante conciliación, cuando se haya pactado el arbitraje </w:t>
      </w:r>
    </w:p>
    <w:p w14:paraId="5D87DB14"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p>
    <w:p w14:paraId="6F8CDC00" w14:textId="77777777" w:rsidR="002957A6" w:rsidRPr="00BB1B37" w:rsidRDefault="002957A6">
      <w:pPr>
        <w:rPr>
          <w:lang w:val="es-ES"/>
        </w:rPr>
      </w:pPr>
    </w:p>
    <w:sectPr w:rsidR="002957A6" w:rsidRPr="00BB1B37">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844B96" w14:textId="77777777" w:rsidR="00FF54BD" w:rsidRDefault="00FF54BD" w:rsidP="00BB1B37">
      <w:pPr>
        <w:spacing w:after="0" w:line="240" w:lineRule="auto"/>
      </w:pPr>
      <w:r>
        <w:separator/>
      </w:r>
    </w:p>
  </w:endnote>
  <w:endnote w:type="continuationSeparator" w:id="0">
    <w:p w14:paraId="0034AF17" w14:textId="77777777" w:rsidR="00FF54BD" w:rsidRDefault="00FF54BD" w:rsidP="00BB1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61EEA" w14:textId="71F90EC8"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EPG</w:t>
    </w:r>
    <w:r>
      <w:rPr>
        <w:rFonts w:ascii="Calibri" w:eastAsia="Calibri" w:hAnsi="Calibri" w:cs="Times New Roman"/>
        <w:kern w:val="0"/>
        <w:sz w:val="22"/>
        <w:szCs w:val="22"/>
        <w:lang w:val="en-US"/>
        <w14:ligatures w14:val="none"/>
      </w:rPr>
      <w:t>-esq</w:t>
    </w:r>
  </w:p>
  <w:p w14:paraId="3E4CCC80" w14:textId="77777777"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SF/HRC</w:t>
    </w:r>
  </w:p>
  <w:p w14:paraId="1581FB47" w14:textId="77777777" w:rsidR="00BB1B37" w:rsidRDefault="00BB1B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D34037" w14:textId="77777777" w:rsidR="00FF54BD" w:rsidRDefault="00FF54BD" w:rsidP="00BB1B37">
      <w:pPr>
        <w:spacing w:after="0" w:line="240" w:lineRule="auto"/>
      </w:pPr>
      <w:r>
        <w:separator/>
      </w:r>
    </w:p>
  </w:footnote>
  <w:footnote w:type="continuationSeparator" w:id="0">
    <w:p w14:paraId="331533B5" w14:textId="77777777" w:rsidR="00FF54BD" w:rsidRDefault="00FF54BD" w:rsidP="00BB1B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DB9C5" w14:textId="77777777" w:rsidR="00BB1B37" w:rsidRDefault="00BB1B37" w:rsidP="00BB1B37">
    <w:pPr>
      <w:pStyle w:val="Encabezado"/>
      <w:jc w:val="center"/>
      <w:rPr>
        <w:rFonts w:ascii="Arial" w:hAnsi="Arial"/>
        <w:b/>
        <w:sz w:val="28"/>
        <w:lang w:val="es-MX"/>
      </w:rPr>
    </w:pPr>
    <w:r>
      <w:rPr>
        <w:rFonts w:ascii="Arial" w:hAnsi="Arial"/>
        <w:b/>
        <w:noProof/>
        <w:sz w:val="28"/>
      </w:rPr>
      <mc:AlternateContent>
        <mc:Choice Requires="wps">
          <w:drawing>
            <wp:anchor distT="0" distB="0" distL="114300" distR="114300" simplePos="0" relativeHeight="251663360" behindDoc="0" locked="0" layoutInCell="1" allowOverlap="1" wp14:anchorId="719732E9" wp14:editId="50890D6E">
              <wp:simplePos x="0" y="0"/>
              <wp:positionH relativeFrom="column">
                <wp:posOffset>3272790</wp:posOffset>
              </wp:positionH>
              <wp:positionV relativeFrom="paragraph">
                <wp:posOffset>-307340</wp:posOffset>
              </wp:positionV>
              <wp:extent cx="1847850" cy="600075"/>
              <wp:effectExtent l="0" t="0" r="0" b="0"/>
              <wp:wrapNone/>
              <wp:docPr id="158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600075"/>
                      </a:xfrm>
                      <a:prstGeom prst="rect">
                        <a:avLst/>
                      </a:prstGeom>
                      <a:noFill/>
                      <a:ln w="9525">
                        <a:noFill/>
                        <a:miter lim="800000"/>
                      </a:ln>
                    </wps:spPr>
                    <wps:txb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wps:txbx>
                    <wps:bodyPr rot="0" vert="horz" wrap="square" lIns="91440" tIns="45720" rIns="91440" bIns="45720" anchor="t" anchorCtr="0">
                      <a:noAutofit/>
                    </wps:bodyPr>
                  </wps:wsp>
                </a:graphicData>
              </a:graphic>
              <wp14:sizeRelH relativeFrom="page">
                <wp14:pctWidth>0</wp14:pctWidth>
              </wp14:sizeRelH>
              <wp14:sizeRelV relativeFrom="margin">
                <wp14:pctHeight>0</wp14:pctHeight>
              </wp14:sizeRelV>
            </wp:anchor>
          </w:drawing>
        </mc:Choice>
        <mc:Fallback>
          <w:pict>
            <v:shapetype w14:anchorId="719732E9" id="_x0000_t202" coordsize="21600,21600" o:spt="202" path="m,l,21600r21600,l21600,xe">
              <v:stroke joinstyle="miter"/>
              <v:path gradientshapeok="t" o:connecttype="rect"/>
            </v:shapetype>
            <v:shape id="Cuadro de texto 2" o:spid="_x0000_s1026" type="#_x0000_t202" style="position:absolute;left:0;text-align:left;margin-left:257.7pt;margin-top:-24.2pt;width:145.5pt;height:4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" filled="f" stroked="f">
              <v:textbo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v:textbox>
            </v:shape>
          </w:pict>
        </mc:Fallback>
      </mc:AlternateContent>
    </w:r>
    <w:r>
      <w:rPr>
        <w:rFonts w:ascii="Arial" w:hAnsi="Arial"/>
        <w:b/>
        <w:noProof/>
        <w:sz w:val="28"/>
      </w:rPr>
      <mc:AlternateContent>
        <mc:Choice Requires="wps">
          <w:drawing>
            <wp:anchor distT="0" distB="0" distL="114300" distR="114300" simplePos="0" relativeHeight="251662336" behindDoc="0" locked="0" layoutInCell="1" allowOverlap="1" wp14:anchorId="34D5074F" wp14:editId="6B862D13">
              <wp:simplePos x="0" y="0"/>
              <wp:positionH relativeFrom="column">
                <wp:posOffset>1510030</wp:posOffset>
              </wp:positionH>
              <wp:positionV relativeFrom="paragraph">
                <wp:posOffset>-219075</wp:posOffset>
              </wp:positionV>
              <wp:extent cx="1655445" cy="349885"/>
              <wp:effectExtent l="0" t="0" r="0" b="0"/>
              <wp:wrapNone/>
              <wp:docPr id="25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5445" cy="349885"/>
                      </a:xfrm>
                      <a:prstGeom prst="rect">
                        <a:avLst/>
                      </a:prstGeom>
                      <a:noFill/>
                      <a:ln>
                        <a:noFill/>
                      </a:ln>
                    </wps:spPr>
                    <wps:txb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wps:txbx>
                    <wps:bodyPr rot="0" vert="horz" wrap="square" lIns="91440" tIns="45720" rIns="91440" bIns="45720" anchor="t" anchorCtr="0" upright="1">
                      <a:noAutofit/>
                    </wps:bodyPr>
                  </wps:wsp>
                </a:graphicData>
              </a:graphic>
            </wp:anchor>
          </w:drawing>
        </mc:Choice>
        <mc:Fallback>
          <w:pict>
            <v:shape w14:anchorId="34D5074F" id="Text Box 16" o:spid="_x0000_s1027" type="#_x0000_t202" style="position:absolute;left:0;text-align:left;margin-left:118.9pt;margin-top:-17.25pt;width:130.35pt;height:27.5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" filled="f" stroked="f">
              <v:textbo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v:textbox>
            </v:shape>
          </w:pict>
        </mc:Fallback>
      </mc:AlternateContent>
    </w:r>
    <w:r>
      <w:rPr>
        <w:rFonts w:ascii="Arial" w:hAnsi="Arial"/>
        <w:b/>
        <w:noProof/>
        <w:sz w:val="28"/>
      </w:rPr>
      <w:drawing>
        <wp:anchor distT="0" distB="0" distL="114300" distR="114300" simplePos="0" relativeHeight="251660288" behindDoc="1" locked="0" layoutInCell="1" allowOverlap="1" wp14:anchorId="157C27C4" wp14:editId="570E5967">
          <wp:simplePos x="0" y="0"/>
          <wp:positionH relativeFrom="column">
            <wp:posOffset>-251460</wp:posOffset>
          </wp:positionH>
          <wp:positionV relativeFrom="paragraph">
            <wp:posOffset>-228600</wp:posOffset>
          </wp:positionV>
          <wp:extent cx="3486150" cy="381000"/>
          <wp:effectExtent l="19050" t="0" r="0" b="0"/>
          <wp:wrapNone/>
          <wp:docPr id="48082194" name="Imagen 5" descr="FORMATO DOCUMENTO PLANT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 name="Imagen 5" descr="FORMATO DOCUMENTO PLANTILLA"/>
                  <pic:cNvPicPr>
                    <a:picLocks noChangeAspect="1" noChangeArrowheads="1"/>
                  </pic:cNvPicPr>
                </pic:nvPicPr>
                <pic:blipFill>
                  <a:blip r:embed="rId1">
                    <a:lum contrast="20000"/>
                  </a:blip>
                  <a:srcRect/>
                  <a:stretch>
                    <a:fillRect/>
                  </a:stretch>
                </pic:blipFill>
                <pic:spPr>
                  <a:xfrm>
                    <a:off x="0" y="0"/>
                    <a:ext cx="3486150" cy="381000"/>
                  </a:xfrm>
                  <a:prstGeom prst="rect">
                    <a:avLst/>
                  </a:prstGeom>
                  <a:solidFill>
                    <a:schemeClr val="bg1">
                      <a:lumMod val="50000"/>
                    </a:schemeClr>
                  </a:solid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14:anchorId="5C889E08" wp14:editId="00237C0A">
          <wp:simplePos x="0" y="0"/>
          <wp:positionH relativeFrom="column">
            <wp:posOffset>5200015</wp:posOffset>
          </wp:positionH>
          <wp:positionV relativeFrom="paragraph">
            <wp:posOffset>-305435</wp:posOffset>
          </wp:positionV>
          <wp:extent cx="1109980" cy="381000"/>
          <wp:effectExtent l="0" t="0" r="0" b="0"/>
          <wp:wrapNone/>
          <wp:docPr id="8920655" name="Imagen 5" descr="GA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 name="Imagen 5" descr="GARF"/>
                  <pic:cNvPicPr>
                    <a:picLocks noChangeAspect="1" noChangeArrowheads="1"/>
                  </pic:cNvPicPr>
                </pic:nvPicPr>
                <pic:blipFill>
                  <a:blip r:embed="rId2">
                    <a:clrChange>
                      <a:clrFrom>
                        <a:srgbClr val="FFFFFF"/>
                      </a:clrFrom>
                      <a:clrTo>
                        <a:srgbClr val="FFFFFF">
                          <a:alpha val="0"/>
                        </a:srgbClr>
                      </a:clrTo>
                    </a:clrChange>
                  </a:blip>
                  <a:srcRect/>
                  <a:stretch>
                    <a:fillRect/>
                  </a:stretch>
                </pic:blipFill>
                <pic:spPr>
                  <a:xfrm>
                    <a:off x="0" y="0"/>
                    <a:ext cx="1109980" cy="381000"/>
                  </a:xfrm>
                  <a:prstGeom prst="rect">
                    <a:avLst/>
                  </a:prstGeom>
                  <a:noFill/>
                  <a:ln w="9525">
                    <a:noFill/>
                    <a:miter lim="800000"/>
                    <a:headEnd/>
                    <a:tailEnd/>
                  </a:ln>
                </pic:spPr>
              </pic:pic>
            </a:graphicData>
          </a:graphic>
        </wp:anchor>
      </w:drawing>
    </w:r>
  </w:p>
  <w:p w14:paraId="08DCA498" w14:textId="77777777" w:rsidR="00BB1B37" w:rsidRDefault="00BB1B37" w:rsidP="00BB1B37">
    <w:pPr>
      <w:pStyle w:val="Encabezado"/>
      <w:tabs>
        <w:tab w:val="left" w:pos="795"/>
        <w:tab w:val="left" w:pos="7350"/>
      </w:tabs>
      <w:rPr>
        <w:rFonts w:ascii="Arial" w:hAnsi="Arial"/>
        <w:b/>
        <w:sz w:val="28"/>
        <w:lang w:val="es-MX"/>
      </w:rPr>
    </w:pPr>
    <w:r>
      <w:rPr>
        <w:noProof/>
      </w:rPr>
      <mc:AlternateContent>
        <mc:Choice Requires="wps">
          <w:drawing>
            <wp:anchor distT="0" distB="0" distL="114300" distR="114300" simplePos="0" relativeHeight="251659264" behindDoc="0" locked="0" layoutInCell="0" allowOverlap="1" wp14:anchorId="6C5A4B05" wp14:editId="5EFCF248">
              <wp:simplePos x="0" y="0"/>
              <wp:positionH relativeFrom="column">
                <wp:posOffset>-55245</wp:posOffset>
              </wp:positionH>
              <wp:positionV relativeFrom="paragraph">
                <wp:posOffset>144145</wp:posOffset>
              </wp:positionV>
              <wp:extent cx="5947410" cy="0"/>
              <wp:effectExtent l="30480" t="30480" r="32385" b="36195"/>
              <wp:wrapNone/>
              <wp:docPr id="250"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7410" cy="0"/>
                      </a:xfrm>
                      <a:prstGeom prst="line">
                        <a:avLst/>
                      </a:prstGeom>
                      <a:noFill/>
                      <a:ln w="57150" cmpd="thinThick">
                        <a:solidFill>
                          <a:srgbClr val="000000"/>
                        </a:solidFill>
                        <a:round/>
                      </a:ln>
                    </wps:spPr>
                    <wps:bodyPr/>
                  </wps:wsp>
                </a:graphicData>
              </a:graphic>
            </wp:anchor>
          </w:drawing>
        </mc:Choice>
        <mc:Fallback>
          <w:pict>
            <v:line w14:anchorId="4A1F671A" id="Line 1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5pt,11.35pt" to="463.9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" o:allowincell="f" strokeweight="4.5pt">
              <v:stroke linestyle="thinThick"/>
            </v:line>
          </w:pict>
        </mc:Fallback>
      </mc:AlternateContent>
    </w:r>
    <w:r>
      <w:rPr>
        <w:rFonts w:ascii="Arial" w:hAnsi="Arial"/>
        <w:b/>
        <w:sz w:val="28"/>
        <w:lang w:val="es-MX"/>
      </w:rPr>
      <w:tab/>
    </w:r>
    <w:r>
      <w:rPr>
        <w:rFonts w:ascii="Arial" w:hAnsi="Arial"/>
        <w:b/>
        <w:sz w:val="28"/>
        <w:lang w:val="es-MX"/>
      </w:rPr>
      <w:tab/>
    </w:r>
    <w:r>
      <w:rPr>
        <w:rFonts w:ascii="Arial" w:hAnsi="Arial"/>
        <w:b/>
        <w:sz w:val="28"/>
        <w:lang w:val="es-MX"/>
      </w:rPr>
      <w:tab/>
    </w:r>
  </w:p>
  <w:p w14:paraId="260A4B81" w14:textId="32594942" w:rsidR="00BB1B37" w:rsidRPr="00BB1B37" w:rsidRDefault="00BB1B37">
    <w:pPr>
      <w:pStyle w:val="Encabezado"/>
      <w:rPr>
        <w:lang w:val="es-ES_tradnl"/>
      </w:rPr>
    </w:pPr>
    <w:r>
      <w:rPr>
        <w:rFonts w:ascii="Arial" w:hAnsi="Arial"/>
        <w:b/>
        <w:sz w:val="28"/>
        <w:lang w:val="es-MX"/>
      </w:rPr>
      <w:t xml:space="preserve">                 </w:t>
    </w:r>
    <w:r>
      <w:rPr>
        <w:rFonts w:ascii="Times New Roman" w:eastAsia="Times New Roman" w:hAnsi="Times New Roman" w:cs="Times New Roman"/>
        <w:b/>
        <w:color w:val="040C28"/>
        <w:sz w:val="20"/>
        <w:szCs w:val="30"/>
        <w:lang w:val="es-ES_tradnl" w:eastAsia="es-ES"/>
      </w:rPr>
      <w:t>“AÑO DE LA ESPERANZA Y FORTALECIMIENTO DE LA DEMOCRACIA”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34915"/>
    <w:multiLevelType w:val="hybridMultilevel"/>
    <w:tmpl w:val="C6B4A408"/>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E4B67EA"/>
    <w:multiLevelType w:val="hybridMultilevel"/>
    <w:tmpl w:val="9A74E41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6C92689"/>
    <w:multiLevelType w:val="hybridMultilevel"/>
    <w:tmpl w:val="2E4C610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2782595D"/>
    <w:multiLevelType w:val="hybridMultilevel"/>
    <w:tmpl w:val="23C8F8D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3D61639E"/>
    <w:multiLevelType w:val="hybridMultilevel"/>
    <w:tmpl w:val="F78C7A9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55AB4287"/>
    <w:multiLevelType w:val="hybridMultilevel"/>
    <w:tmpl w:val="11CAD92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60DD5A6D"/>
    <w:multiLevelType w:val="hybridMultilevel"/>
    <w:tmpl w:val="9F96EC2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7A527076"/>
    <w:multiLevelType w:val="hybridMultilevel"/>
    <w:tmpl w:val="7A8010E2"/>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415201135">
    <w:abstractNumId w:val="0"/>
  </w:num>
  <w:num w:numId="2" w16cid:durableId="1626424609">
    <w:abstractNumId w:val="4"/>
  </w:num>
  <w:num w:numId="3" w16cid:durableId="1677070939">
    <w:abstractNumId w:val="6"/>
  </w:num>
  <w:num w:numId="4" w16cid:durableId="2138136059">
    <w:abstractNumId w:val="2"/>
  </w:num>
  <w:num w:numId="5" w16cid:durableId="608240903">
    <w:abstractNumId w:val="7"/>
  </w:num>
  <w:num w:numId="6" w16cid:durableId="1107844436">
    <w:abstractNumId w:val="1"/>
  </w:num>
  <w:num w:numId="7" w16cid:durableId="1552812517">
    <w:abstractNumId w:val="5"/>
  </w:num>
  <w:num w:numId="8" w16cid:durableId="143137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B37"/>
    <w:rsid w:val="00083345"/>
    <w:rsid w:val="000D5A74"/>
    <w:rsid w:val="000F15D7"/>
    <w:rsid w:val="001360E3"/>
    <w:rsid w:val="00166DE3"/>
    <w:rsid w:val="001E4D86"/>
    <w:rsid w:val="0025440C"/>
    <w:rsid w:val="002957A6"/>
    <w:rsid w:val="0038027F"/>
    <w:rsid w:val="00397125"/>
    <w:rsid w:val="003A6DB1"/>
    <w:rsid w:val="003C20BE"/>
    <w:rsid w:val="00414FB2"/>
    <w:rsid w:val="00422740"/>
    <w:rsid w:val="004F340D"/>
    <w:rsid w:val="00502CB8"/>
    <w:rsid w:val="005219B3"/>
    <w:rsid w:val="00575BB0"/>
    <w:rsid w:val="0058035D"/>
    <w:rsid w:val="005B1C82"/>
    <w:rsid w:val="005F23C4"/>
    <w:rsid w:val="00630CE9"/>
    <w:rsid w:val="006317E7"/>
    <w:rsid w:val="00662DAC"/>
    <w:rsid w:val="006E346E"/>
    <w:rsid w:val="00713A88"/>
    <w:rsid w:val="007367AE"/>
    <w:rsid w:val="00781B30"/>
    <w:rsid w:val="00787161"/>
    <w:rsid w:val="00797335"/>
    <w:rsid w:val="00800A79"/>
    <w:rsid w:val="008B1A9B"/>
    <w:rsid w:val="008B7AC6"/>
    <w:rsid w:val="008C598E"/>
    <w:rsid w:val="00934250"/>
    <w:rsid w:val="0098570D"/>
    <w:rsid w:val="00987EFD"/>
    <w:rsid w:val="009C7C6D"/>
    <w:rsid w:val="00A54AA7"/>
    <w:rsid w:val="00A815CD"/>
    <w:rsid w:val="00A97C53"/>
    <w:rsid w:val="00B079E6"/>
    <w:rsid w:val="00BB1B37"/>
    <w:rsid w:val="00BE109D"/>
    <w:rsid w:val="00BF22B5"/>
    <w:rsid w:val="00C01AD3"/>
    <w:rsid w:val="00C425D9"/>
    <w:rsid w:val="00D6234F"/>
    <w:rsid w:val="00DD3EDE"/>
    <w:rsid w:val="00E07E21"/>
    <w:rsid w:val="00E42CB6"/>
    <w:rsid w:val="00E74057"/>
    <w:rsid w:val="00EF3A3F"/>
    <w:rsid w:val="00EF7847"/>
    <w:rsid w:val="00F46973"/>
    <w:rsid w:val="00F9261D"/>
    <w:rsid w:val="00FA009C"/>
    <w:rsid w:val="00FC51FE"/>
    <w:rsid w:val="00FF54B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FC1E0"/>
  <w15:chartTrackingRefBased/>
  <w15:docId w15:val="{79604CE0-3925-4490-9384-8146FE10E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B1B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B1B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B1B3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B1B3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B1B3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B1B3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B1B3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B1B3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B1B3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1B3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B1B3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B1B3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B1B3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B1B3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B1B3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B1B3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B1B3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B1B37"/>
    <w:rPr>
      <w:rFonts w:eastAsiaTheme="majorEastAsia" w:cstheme="majorBidi"/>
      <w:color w:val="272727" w:themeColor="text1" w:themeTint="D8"/>
    </w:rPr>
  </w:style>
  <w:style w:type="paragraph" w:styleId="Ttulo">
    <w:name w:val="Title"/>
    <w:basedOn w:val="Normal"/>
    <w:next w:val="Normal"/>
    <w:link w:val="TtuloCar"/>
    <w:uiPriority w:val="10"/>
    <w:qFormat/>
    <w:rsid w:val="00BB1B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B1B3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B1B3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B1B3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B1B37"/>
    <w:pPr>
      <w:spacing w:before="160"/>
      <w:jc w:val="center"/>
    </w:pPr>
    <w:rPr>
      <w:i/>
      <w:iCs/>
      <w:color w:val="404040" w:themeColor="text1" w:themeTint="BF"/>
    </w:rPr>
  </w:style>
  <w:style w:type="character" w:customStyle="1" w:styleId="CitaCar">
    <w:name w:val="Cita Car"/>
    <w:basedOn w:val="Fuentedeprrafopredeter"/>
    <w:link w:val="Cita"/>
    <w:uiPriority w:val="29"/>
    <w:rsid w:val="00BB1B37"/>
    <w:rPr>
      <w:i/>
      <w:iCs/>
      <w:color w:val="404040" w:themeColor="text1" w:themeTint="BF"/>
    </w:rPr>
  </w:style>
  <w:style w:type="paragraph" w:styleId="Prrafodelista">
    <w:name w:val="List Paragraph"/>
    <w:basedOn w:val="Normal"/>
    <w:uiPriority w:val="34"/>
    <w:qFormat/>
    <w:rsid w:val="00BB1B37"/>
    <w:pPr>
      <w:ind w:left="720"/>
      <w:contextualSpacing/>
    </w:pPr>
  </w:style>
  <w:style w:type="character" w:styleId="nfasisintenso">
    <w:name w:val="Intense Emphasis"/>
    <w:basedOn w:val="Fuentedeprrafopredeter"/>
    <w:uiPriority w:val="21"/>
    <w:qFormat/>
    <w:rsid w:val="00BB1B37"/>
    <w:rPr>
      <w:i/>
      <w:iCs/>
      <w:color w:val="0F4761" w:themeColor="accent1" w:themeShade="BF"/>
    </w:rPr>
  </w:style>
  <w:style w:type="paragraph" w:styleId="Citadestacada">
    <w:name w:val="Intense Quote"/>
    <w:basedOn w:val="Normal"/>
    <w:next w:val="Normal"/>
    <w:link w:val="CitadestacadaCar"/>
    <w:uiPriority w:val="30"/>
    <w:qFormat/>
    <w:rsid w:val="00BB1B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B1B37"/>
    <w:rPr>
      <w:i/>
      <w:iCs/>
      <w:color w:val="0F4761" w:themeColor="accent1" w:themeShade="BF"/>
    </w:rPr>
  </w:style>
  <w:style w:type="character" w:styleId="Referenciaintensa">
    <w:name w:val="Intense Reference"/>
    <w:basedOn w:val="Fuentedeprrafopredeter"/>
    <w:uiPriority w:val="32"/>
    <w:qFormat/>
    <w:rsid w:val="00BB1B37"/>
    <w:rPr>
      <w:b/>
      <w:bCs/>
      <w:smallCaps/>
      <w:color w:val="0F4761" w:themeColor="accent1" w:themeShade="BF"/>
      <w:spacing w:val="5"/>
    </w:rPr>
  </w:style>
  <w:style w:type="table" w:customStyle="1" w:styleId="TableGrid">
    <w:name w:val="TableGrid"/>
    <w:rsid w:val="00BB1B37"/>
    <w:pPr>
      <w:spacing w:after="0" w:line="240" w:lineRule="auto"/>
    </w:pPr>
    <w:rPr>
      <w:rFonts w:eastAsia="Times New Roman"/>
      <w:lang w:eastAsia="es-PE"/>
    </w:rPr>
    <w:tblPr>
      <w:tblCellMar>
        <w:top w:w="0" w:type="dxa"/>
        <w:left w:w="0" w:type="dxa"/>
        <w:bottom w:w="0" w:type="dxa"/>
        <w:right w:w="0" w:type="dxa"/>
      </w:tblCellMar>
    </w:tblPr>
  </w:style>
  <w:style w:type="paragraph" w:styleId="Encabezado">
    <w:name w:val="header"/>
    <w:basedOn w:val="Normal"/>
    <w:link w:val="EncabezadoCar"/>
    <w:uiPriority w:val="99"/>
    <w:unhideWhenUsed/>
    <w:rsid w:val="00BB1B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qFormat/>
    <w:rsid w:val="00BB1B37"/>
  </w:style>
  <w:style w:type="paragraph" w:styleId="Piedepgina">
    <w:name w:val="footer"/>
    <w:basedOn w:val="Normal"/>
    <w:link w:val="PiedepginaCar"/>
    <w:uiPriority w:val="99"/>
    <w:unhideWhenUsed/>
    <w:rsid w:val="00BB1B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B1B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2014</Words>
  <Characters>11082</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Hospital Regional Cusco</dc:creator>
  <cp:keywords/>
  <dc:description/>
  <cp:lastModifiedBy>Hospital Regional Cusco</cp:lastModifiedBy>
  <cp:revision>3</cp:revision>
  <cp:lastPrinted>2026-06-12T14:48:00Z</cp:lastPrinted>
  <dcterms:created xsi:type="dcterms:W3CDTF">2026-07-20T13:50:00Z</dcterms:created>
  <dcterms:modified xsi:type="dcterms:W3CDTF">2026-07-24T17:18:00Z</dcterms:modified>
</cp:coreProperties>
</file>