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A692F7" w14:textId="77777777" w:rsidR="00BB1B37" w:rsidRPr="00BB1B37" w:rsidRDefault="00BB1B37" w:rsidP="00BB1B37">
      <w:pPr>
        <w:spacing w:line="276" w:lineRule="auto"/>
        <w:jc w:val="center"/>
        <w:rPr>
          <w:rFonts w:ascii="Times New Roman" w:eastAsia="Calibri" w:hAnsi="Times New Roman" w:cs="Times New Roman"/>
          <w:b/>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t>ESPECIFICACIONES TÉCNICAS PARA LA ADQUISICIÓN DEL PRODUCTOS FARMACÉUTICOS ESCENCIALES</w:t>
      </w:r>
    </w:p>
    <w:tbl>
      <w:tblPr>
        <w:tblStyle w:val="TableGrid"/>
        <w:tblW w:w="9377" w:type="dxa"/>
        <w:tblInd w:w="-24" w:type="dxa"/>
        <w:tblCellMar>
          <w:left w:w="110" w:type="dxa"/>
          <w:right w:w="107" w:type="dxa"/>
        </w:tblCellMar>
        <w:tblLook w:val="04A0" w:firstRow="1" w:lastRow="0" w:firstColumn="1" w:lastColumn="0" w:noHBand="0" w:noVBand="1"/>
      </w:tblPr>
      <w:tblGrid>
        <w:gridCol w:w="3282"/>
        <w:gridCol w:w="6095"/>
      </w:tblGrid>
      <w:tr w:rsidR="00BB1B37" w:rsidRPr="00BB1B37" w14:paraId="0589233B" w14:textId="77777777" w:rsidTr="005357F8">
        <w:trPr>
          <w:trHeight w:val="350"/>
        </w:trPr>
        <w:tc>
          <w:tcPr>
            <w:tcW w:w="3282" w:type="dxa"/>
            <w:tcBorders>
              <w:top w:val="single" w:sz="2" w:space="0" w:color="000000"/>
              <w:left w:val="single" w:sz="2" w:space="0" w:color="000000"/>
              <w:bottom w:val="single" w:sz="2" w:space="0" w:color="000000"/>
              <w:right w:val="single" w:sz="2" w:space="0" w:color="000000"/>
            </w:tcBorders>
            <w:vAlign w:val="center"/>
          </w:tcPr>
          <w:p w14:paraId="1860CA81" w14:textId="23AEE6DB" w:rsidR="00BB1B37" w:rsidRPr="00BB1B37" w:rsidRDefault="00BB1B37" w:rsidP="00BB1B37">
            <w:pPr>
              <w:spacing w:after="33" w:line="226" w:lineRule="auto"/>
              <w:ind w:left="275" w:right="10" w:firstLine="5"/>
              <w:jc w:val="both"/>
              <w:rPr>
                <w:rFonts w:ascii="Times New Roman" w:eastAsia="Calibri" w:hAnsi="Times New Roman" w:cs="Times New Roman"/>
                <w:bCs/>
                <w:color w:val="000000"/>
                <w:kern w:val="0"/>
                <w:sz w:val="20"/>
                <w:szCs w:val="20"/>
                <w:lang w:val="en-US"/>
                <w14:ligatures w14:val="none"/>
              </w:rPr>
            </w:pPr>
            <w:r w:rsidRPr="00BB1B37">
              <w:rPr>
                <w:rFonts w:ascii="Times New Roman" w:eastAsia="Calibri" w:hAnsi="Times New Roman" w:cs="Times New Roman"/>
                <w:bCs/>
                <w:color w:val="000000"/>
                <w:kern w:val="0"/>
                <w:sz w:val="20"/>
                <w:szCs w:val="20"/>
                <w:lang w:val="en-US"/>
                <w14:ligatures w14:val="none"/>
              </w:rPr>
              <w:t>Area Usuaria</w:t>
            </w:r>
          </w:p>
        </w:tc>
        <w:tc>
          <w:tcPr>
            <w:tcW w:w="6095" w:type="dxa"/>
            <w:tcBorders>
              <w:top w:val="single" w:sz="2" w:space="0" w:color="000000"/>
              <w:left w:val="single" w:sz="2" w:space="0" w:color="000000"/>
              <w:bottom w:val="single" w:sz="2" w:space="0" w:color="000000"/>
              <w:right w:val="single" w:sz="2" w:space="0" w:color="000000"/>
            </w:tcBorders>
            <w:vAlign w:val="center"/>
          </w:tcPr>
          <w:p w14:paraId="544566E4" w14:textId="77777777" w:rsidR="00BB1B37" w:rsidRPr="00BB1B37" w:rsidRDefault="00BB1B37" w:rsidP="00BB1B37">
            <w:pPr>
              <w:spacing w:after="33" w:line="226" w:lineRule="auto"/>
              <w:ind w:left="28" w:right="10"/>
              <w:jc w:val="both"/>
              <w:rPr>
                <w:rFonts w:ascii="Times New Roman" w:eastAsia="Calibri" w:hAnsi="Times New Roman" w:cs="Times New Roman"/>
                <w:bCs/>
                <w:color w:val="000000"/>
                <w:kern w:val="0"/>
                <w:sz w:val="20"/>
                <w:szCs w:val="20"/>
                <w:lang w:val="en-US"/>
                <w14:ligatures w14:val="none"/>
              </w:rPr>
            </w:pPr>
            <w:r w:rsidRPr="00BB1B37">
              <w:rPr>
                <w:rFonts w:ascii="Times New Roman" w:eastAsia="Calibri" w:hAnsi="Times New Roman" w:cs="Times New Roman"/>
                <w:bCs/>
                <w:color w:val="000000"/>
                <w:kern w:val="0"/>
                <w:sz w:val="20"/>
                <w:szCs w:val="20"/>
                <w:lang w:val="en-US"/>
                <w14:ligatures w14:val="none"/>
              </w:rPr>
              <w:t>Servicio de Farmacia – Hospital Regional Cusco</w:t>
            </w:r>
          </w:p>
        </w:tc>
      </w:tr>
      <w:tr w:rsidR="00BB1B37" w:rsidRPr="00BB1B37" w14:paraId="48426DE7" w14:textId="77777777" w:rsidTr="005357F8">
        <w:trPr>
          <w:trHeight w:val="269"/>
        </w:trPr>
        <w:tc>
          <w:tcPr>
            <w:tcW w:w="3282" w:type="dxa"/>
            <w:tcBorders>
              <w:top w:val="single" w:sz="2" w:space="0" w:color="000000"/>
              <w:left w:val="single" w:sz="2" w:space="0" w:color="000000"/>
              <w:bottom w:val="single" w:sz="2" w:space="0" w:color="000000"/>
              <w:right w:val="single" w:sz="2" w:space="0" w:color="000000"/>
            </w:tcBorders>
            <w:vAlign w:val="center"/>
          </w:tcPr>
          <w:p w14:paraId="79193F35" w14:textId="77777777" w:rsidR="00BB1B37" w:rsidRPr="00BB1B37" w:rsidRDefault="00BB1B37" w:rsidP="00BB1B37">
            <w:pPr>
              <w:spacing w:after="33" w:line="226" w:lineRule="auto"/>
              <w:ind w:left="275" w:right="10" w:firstLine="5"/>
              <w:jc w:val="both"/>
              <w:rPr>
                <w:rFonts w:ascii="Times New Roman" w:eastAsia="Calibri" w:hAnsi="Times New Roman" w:cs="Times New Roman"/>
                <w:bCs/>
                <w:color w:val="000000"/>
                <w:kern w:val="0"/>
                <w:sz w:val="20"/>
                <w:szCs w:val="20"/>
                <w:lang w:val="en-US"/>
                <w14:ligatures w14:val="none"/>
              </w:rPr>
            </w:pPr>
            <w:r w:rsidRPr="00BB1B37">
              <w:rPr>
                <w:rFonts w:ascii="Times New Roman" w:eastAsia="Calibri" w:hAnsi="Times New Roman" w:cs="Times New Roman"/>
                <w:bCs/>
                <w:color w:val="000000"/>
                <w:kern w:val="0"/>
                <w:sz w:val="20"/>
                <w:szCs w:val="20"/>
                <w:lang w:val="en-US"/>
                <w14:ligatures w14:val="none"/>
              </w:rPr>
              <w:t>Meta Presupuestaria</w:t>
            </w:r>
          </w:p>
        </w:tc>
        <w:tc>
          <w:tcPr>
            <w:tcW w:w="6095" w:type="dxa"/>
            <w:tcBorders>
              <w:top w:val="single" w:sz="2" w:space="0" w:color="000000"/>
              <w:left w:val="single" w:sz="2" w:space="0" w:color="000000"/>
              <w:bottom w:val="single" w:sz="2" w:space="0" w:color="000000"/>
              <w:right w:val="single" w:sz="2" w:space="0" w:color="000000"/>
            </w:tcBorders>
            <w:vAlign w:val="center"/>
          </w:tcPr>
          <w:p w14:paraId="589ADDF9" w14:textId="0B352473" w:rsidR="00BB1B37" w:rsidRPr="00BB1B37" w:rsidRDefault="00BB1B37" w:rsidP="00BB1B37">
            <w:pPr>
              <w:spacing w:after="33" w:line="226" w:lineRule="auto"/>
              <w:ind w:left="28" w:right="10"/>
              <w:jc w:val="both"/>
              <w:rPr>
                <w:rFonts w:ascii="Times New Roman" w:eastAsia="Calibri" w:hAnsi="Times New Roman" w:cs="Times New Roman"/>
                <w:bCs/>
                <w:color w:val="000000"/>
                <w:kern w:val="0"/>
                <w:sz w:val="20"/>
                <w:szCs w:val="20"/>
                <w:lang w:val="en-US"/>
                <w14:ligatures w14:val="none"/>
              </w:rPr>
            </w:pPr>
          </w:p>
        </w:tc>
      </w:tr>
      <w:tr w:rsidR="00BB1B37" w:rsidRPr="00BB1B37" w14:paraId="53BA4D7C" w14:textId="77777777" w:rsidTr="005357F8">
        <w:trPr>
          <w:trHeight w:val="429"/>
        </w:trPr>
        <w:tc>
          <w:tcPr>
            <w:tcW w:w="3282" w:type="dxa"/>
            <w:tcBorders>
              <w:top w:val="single" w:sz="2" w:space="0" w:color="000000"/>
              <w:left w:val="single" w:sz="2" w:space="0" w:color="000000"/>
              <w:bottom w:val="single" w:sz="2" w:space="0" w:color="000000"/>
              <w:right w:val="single" w:sz="2" w:space="0" w:color="000000"/>
            </w:tcBorders>
            <w:vAlign w:val="center"/>
          </w:tcPr>
          <w:p w14:paraId="377F0598" w14:textId="77777777" w:rsidR="00BB1B37" w:rsidRPr="00BB1B37" w:rsidRDefault="00BB1B37" w:rsidP="00BB1B37">
            <w:pPr>
              <w:spacing w:after="33" w:line="226" w:lineRule="auto"/>
              <w:ind w:left="275" w:right="10" w:firstLine="5"/>
              <w:jc w:val="both"/>
              <w:rPr>
                <w:rFonts w:ascii="Times New Roman" w:eastAsia="Calibri" w:hAnsi="Times New Roman" w:cs="Times New Roman"/>
                <w:bCs/>
                <w:color w:val="000000"/>
                <w:kern w:val="0"/>
                <w:sz w:val="20"/>
                <w:szCs w:val="20"/>
                <w:lang w:val="en-US"/>
                <w14:ligatures w14:val="none"/>
              </w:rPr>
            </w:pPr>
            <w:r w:rsidRPr="00BB1B37">
              <w:rPr>
                <w:rFonts w:ascii="Times New Roman" w:eastAsia="Calibri" w:hAnsi="Times New Roman" w:cs="Times New Roman"/>
                <w:bCs/>
                <w:color w:val="000000"/>
                <w:kern w:val="0"/>
                <w:sz w:val="20"/>
                <w:szCs w:val="20"/>
                <w:lang w:val="en-US"/>
                <w14:ligatures w14:val="none"/>
              </w:rPr>
              <w:t>Actividad del POI</w:t>
            </w:r>
          </w:p>
        </w:tc>
        <w:tc>
          <w:tcPr>
            <w:tcW w:w="6095" w:type="dxa"/>
            <w:tcBorders>
              <w:top w:val="single" w:sz="2" w:space="0" w:color="000000"/>
              <w:left w:val="single" w:sz="2" w:space="0" w:color="000000"/>
              <w:bottom w:val="single" w:sz="2" w:space="0" w:color="000000"/>
              <w:right w:val="single" w:sz="2" w:space="0" w:color="000000"/>
            </w:tcBorders>
            <w:vAlign w:val="center"/>
          </w:tcPr>
          <w:p w14:paraId="1F06676C" w14:textId="77777777" w:rsidR="00BB1B37" w:rsidRPr="00BB1B37" w:rsidRDefault="00BB1B37" w:rsidP="00BB1B37">
            <w:pPr>
              <w:spacing w:after="33" w:line="226" w:lineRule="auto"/>
              <w:ind w:left="28" w:right="10"/>
              <w:jc w:val="both"/>
              <w:rPr>
                <w:rFonts w:ascii="Times New Roman" w:eastAsia="Calibri" w:hAnsi="Times New Roman" w:cs="Times New Roman"/>
                <w:bCs/>
                <w:color w:val="000000"/>
                <w:kern w:val="0"/>
                <w:sz w:val="20"/>
                <w:szCs w:val="20"/>
                <w:lang w:val="en-US"/>
                <w14:ligatures w14:val="none"/>
              </w:rPr>
            </w:pPr>
            <w:r w:rsidRPr="00BB1B37">
              <w:rPr>
                <w:rFonts w:ascii="Times New Roman" w:eastAsia="Calibri" w:hAnsi="Times New Roman" w:cs="Times New Roman"/>
                <w:bCs/>
                <w:color w:val="000000"/>
                <w:kern w:val="0"/>
                <w:sz w:val="20"/>
                <w:szCs w:val="20"/>
                <w:lang w:val="en-US"/>
                <w14:ligatures w14:val="none"/>
              </w:rPr>
              <w:t>Gestión de Productos Farmacéuticos y Dispositivos Médicos – Proveer de Medicamentos a la población</w:t>
            </w:r>
          </w:p>
        </w:tc>
      </w:tr>
      <w:tr w:rsidR="00BB1B37" w:rsidRPr="00BB1B37" w14:paraId="10A3FF8D" w14:textId="77777777" w:rsidTr="005357F8">
        <w:trPr>
          <w:trHeight w:val="522"/>
        </w:trPr>
        <w:tc>
          <w:tcPr>
            <w:tcW w:w="3282" w:type="dxa"/>
            <w:tcBorders>
              <w:top w:val="single" w:sz="2" w:space="0" w:color="000000"/>
              <w:left w:val="single" w:sz="2" w:space="0" w:color="000000"/>
              <w:bottom w:val="single" w:sz="2" w:space="0" w:color="000000"/>
              <w:right w:val="single" w:sz="2" w:space="0" w:color="000000"/>
            </w:tcBorders>
            <w:vAlign w:val="center"/>
          </w:tcPr>
          <w:p w14:paraId="2D3B712E" w14:textId="77777777" w:rsidR="00BB1B37" w:rsidRPr="00BB1B37" w:rsidRDefault="00BB1B37" w:rsidP="00BB1B37">
            <w:pPr>
              <w:spacing w:after="33" w:line="226" w:lineRule="auto"/>
              <w:ind w:left="275" w:right="10" w:firstLine="5"/>
              <w:jc w:val="both"/>
              <w:rPr>
                <w:rFonts w:ascii="Times New Roman" w:eastAsia="Calibri" w:hAnsi="Times New Roman" w:cs="Times New Roman"/>
                <w:bCs/>
                <w:color w:val="000000"/>
                <w:kern w:val="0"/>
                <w:sz w:val="20"/>
                <w:szCs w:val="20"/>
                <w:lang w:val="en-US"/>
                <w14:ligatures w14:val="none"/>
              </w:rPr>
            </w:pPr>
            <w:r w:rsidRPr="00BB1B37">
              <w:rPr>
                <w:rFonts w:ascii="Times New Roman" w:eastAsia="Calibri" w:hAnsi="Times New Roman" w:cs="Times New Roman"/>
                <w:bCs/>
                <w:color w:val="000000"/>
                <w:kern w:val="0"/>
                <w:sz w:val="20"/>
                <w:szCs w:val="20"/>
                <w:lang w:val="en-US"/>
                <w14:ligatures w14:val="none"/>
              </w:rPr>
              <w:t>Denominación de la Contratación</w:t>
            </w:r>
          </w:p>
        </w:tc>
        <w:tc>
          <w:tcPr>
            <w:tcW w:w="6095" w:type="dxa"/>
            <w:tcBorders>
              <w:top w:val="single" w:sz="2" w:space="0" w:color="000000"/>
              <w:left w:val="single" w:sz="2" w:space="0" w:color="000000"/>
              <w:bottom w:val="single" w:sz="2" w:space="0" w:color="000000"/>
              <w:right w:val="single" w:sz="2" w:space="0" w:color="000000"/>
            </w:tcBorders>
            <w:vAlign w:val="center"/>
          </w:tcPr>
          <w:p w14:paraId="505EAD1B" w14:textId="77777777" w:rsidR="008D16E9" w:rsidRDefault="008D16E9" w:rsidP="008D16E9">
            <w:pPr>
              <w:jc w:val="both"/>
              <w:rPr>
                <w:rFonts w:ascii="Calibri" w:hAnsi="Calibri" w:cs="Calibri"/>
                <w:color w:val="000000"/>
                <w:sz w:val="20"/>
                <w:szCs w:val="20"/>
              </w:rPr>
            </w:pPr>
            <w:r>
              <w:rPr>
                <w:rFonts w:ascii="Calibri" w:hAnsi="Calibri" w:cs="Calibri"/>
                <w:color w:val="000000"/>
                <w:sz w:val="20"/>
                <w:szCs w:val="20"/>
              </w:rPr>
              <w:t>LOSARTAN 50MG TAB</w:t>
            </w:r>
          </w:p>
          <w:p w14:paraId="5C71B119" w14:textId="23499679" w:rsidR="00BB1B37" w:rsidRPr="00BB1B37" w:rsidRDefault="00BB1B37" w:rsidP="00BB1B37">
            <w:pPr>
              <w:spacing w:after="33" w:line="226" w:lineRule="auto"/>
              <w:ind w:left="28" w:right="10"/>
              <w:jc w:val="both"/>
              <w:rPr>
                <w:rFonts w:ascii="Times New Roman" w:eastAsia="Calibri" w:hAnsi="Times New Roman" w:cs="Times New Roman"/>
                <w:bCs/>
                <w:color w:val="000000"/>
                <w:kern w:val="0"/>
                <w:sz w:val="20"/>
                <w:szCs w:val="20"/>
                <w:lang w:val="en-US"/>
                <w14:ligatures w14:val="none"/>
              </w:rPr>
            </w:pPr>
          </w:p>
        </w:tc>
      </w:tr>
    </w:tbl>
    <w:p w14:paraId="7E8F742C" w14:textId="77777777" w:rsidR="00BB1B37" w:rsidRPr="00BB1B37" w:rsidRDefault="00BB1B37" w:rsidP="00BB1B37">
      <w:pPr>
        <w:spacing w:line="276" w:lineRule="auto"/>
        <w:jc w:val="both"/>
        <w:rPr>
          <w:rFonts w:ascii="Times New Roman" w:eastAsia="Calibri" w:hAnsi="Times New Roman" w:cs="Times New Roman"/>
          <w:bCs/>
          <w:kern w:val="0"/>
          <w:sz w:val="20"/>
          <w:szCs w:val="20"/>
          <w:lang w:val="es-ES"/>
          <w14:ligatures w14:val="none"/>
        </w:rPr>
      </w:pPr>
    </w:p>
    <w:p w14:paraId="6068C5C7" w14:textId="77777777" w:rsidR="00BB1B37" w:rsidRPr="00BB1B37" w:rsidRDefault="00BB1B37" w:rsidP="00BB1B37">
      <w:pPr>
        <w:spacing w:line="276" w:lineRule="auto"/>
        <w:jc w:val="both"/>
        <w:rPr>
          <w:rFonts w:ascii="Times New Roman" w:eastAsia="Calibri" w:hAnsi="Times New Roman" w:cs="Times New Roman"/>
          <w:b/>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t>1.</w:t>
      </w:r>
      <w:r w:rsidRPr="00BB1B37">
        <w:rPr>
          <w:rFonts w:ascii="Times New Roman" w:eastAsia="Calibri" w:hAnsi="Times New Roman" w:cs="Times New Roman"/>
          <w:b/>
          <w:kern w:val="0"/>
          <w:sz w:val="20"/>
          <w:szCs w:val="20"/>
          <w:lang w:val="es-ES"/>
          <w14:ligatures w14:val="none"/>
        </w:rPr>
        <w:tab/>
        <w:t>Finalidad Pública de la Contratación.</w:t>
      </w:r>
    </w:p>
    <w:p w14:paraId="2E783EA2" w14:textId="77777777" w:rsidR="00BB1B37" w:rsidRPr="00BB1B37" w:rsidRDefault="00BB1B37" w:rsidP="00BB1B37">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El presente requerimiento tiene por finalidad adquirir productos farmacéuticos destinados a conservar, mantener, recuperar y rehabilitar la salud de las personas que reciben prestaciones de salud en el Hospital Regional Cusco</w:t>
      </w:r>
    </w:p>
    <w:p w14:paraId="56079070" w14:textId="77777777" w:rsidR="00BB1B37" w:rsidRPr="00BB1B37" w:rsidRDefault="00BB1B37" w:rsidP="00BB1B37">
      <w:pPr>
        <w:spacing w:line="276" w:lineRule="auto"/>
        <w:jc w:val="both"/>
        <w:rPr>
          <w:rFonts w:ascii="Times New Roman" w:eastAsia="Calibri" w:hAnsi="Times New Roman" w:cs="Times New Roman"/>
          <w:b/>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t>2.</w:t>
      </w:r>
      <w:r w:rsidRPr="00BB1B37">
        <w:rPr>
          <w:rFonts w:ascii="Times New Roman" w:eastAsia="Calibri" w:hAnsi="Times New Roman" w:cs="Times New Roman"/>
          <w:b/>
          <w:kern w:val="0"/>
          <w:sz w:val="20"/>
          <w:szCs w:val="20"/>
          <w:lang w:val="es-ES"/>
          <w14:ligatures w14:val="none"/>
        </w:rPr>
        <w:tab/>
        <w:t>Antecedentes.</w:t>
      </w:r>
    </w:p>
    <w:p w14:paraId="7B3CEC61" w14:textId="77777777" w:rsidR="00BB1B37" w:rsidRPr="00BB1B37" w:rsidRDefault="00BB1B37" w:rsidP="00BB1B37">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El Hospital Regional del Cusco mediante el Servicio de Farmacia tiene por finalidad modernizar, optimizar y garantizar los procesos necesarios para el abastecimiento de los recursos estratégicos en salud, permitiendo que los mismos estén disponibles y sean asequibles a la población</w:t>
      </w:r>
    </w:p>
    <w:p w14:paraId="56F9EB41" w14:textId="4AA6A752" w:rsidR="00BB1B37" w:rsidRPr="00BB1B37" w:rsidRDefault="008D16E9" w:rsidP="00BB1B37">
      <w:pPr>
        <w:spacing w:line="276" w:lineRule="auto"/>
        <w:jc w:val="both"/>
        <w:rPr>
          <w:rFonts w:ascii="Times New Roman" w:eastAsia="Calibri" w:hAnsi="Times New Roman" w:cs="Times New Roman"/>
          <w:b/>
          <w:kern w:val="0"/>
          <w:sz w:val="20"/>
          <w:szCs w:val="20"/>
          <w:lang w:val="es-ES"/>
          <w14:ligatures w14:val="none"/>
        </w:rPr>
      </w:pPr>
      <w:r>
        <w:rPr>
          <w:rFonts w:ascii="Times New Roman" w:eastAsia="Calibri" w:hAnsi="Times New Roman" w:cs="Times New Roman"/>
          <w:b/>
          <w:kern w:val="0"/>
          <w:sz w:val="20"/>
          <w:szCs w:val="20"/>
          <w:lang w:val="es-ES"/>
          <w14:ligatures w14:val="none"/>
        </w:rPr>
        <w:t>3</w:t>
      </w:r>
      <w:r w:rsidR="00BB1B37" w:rsidRPr="00BB1B37">
        <w:rPr>
          <w:rFonts w:ascii="Times New Roman" w:eastAsia="Calibri" w:hAnsi="Times New Roman" w:cs="Times New Roman"/>
          <w:b/>
          <w:kern w:val="0"/>
          <w:sz w:val="20"/>
          <w:szCs w:val="20"/>
          <w:lang w:val="es-ES"/>
          <w14:ligatures w14:val="none"/>
        </w:rPr>
        <w:t>.</w:t>
      </w:r>
      <w:r w:rsidR="00BB1B37" w:rsidRPr="00BB1B37">
        <w:rPr>
          <w:rFonts w:ascii="Times New Roman" w:eastAsia="Calibri" w:hAnsi="Times New Roman" w:cs="Times New Roman"/>
          <w:b/>
          <w:kern w:val="0"/>
          <w:sz w:val="20"/>
          <w:szCs w:val="20"/>
          <w:lang w:val="es-ES"/>
          <w14:ligatures w14:val="none"/>
        </w:rPr>
        <w:tab/>
        <w:t>Alcance y Descripción de los bienes contratar:</w:t>
      </w:r>
    </w:p>
    <w:p w14:paraId="4CC300DE" w14:textId="2A75ECCC" w:rsidR="00BB1B37" w:rsidRPr="000D5A74" w:rsidRDefault="00DD0324" w:rsidP="00BB1B37">
      <w:pPr>
        <w:spacing w:line="276" w:lineRule="auto"/>
        <w:jc w:val="both"/>
        <w:rPr>
          <w:rFonts w:ascii="Times New Roman" w:eastAsia="Calibri" w:hAnsi="Times New Roman" w:cs="Times New Roman"/>
          <w:b/>
          <w:kern w:val="0"/>
          <w:sz w:val="20"/>
          <w:szCs w:val="20"/>
          <w:lang w:val="es-ES"/>
          <w14:ligatures w14:val="none"/>
        </w:rPr>
      </w:pPr>
      <w:r w:rsidRPr="00DD0324">
        <w:rPr>
          <w:noProof/>
        </w:rPr>
        <w:drawing>
          <wp:inline distT="0" distB="0" distL="0" distR="0" wp14:anchorId="6AECC12E" wp14:editId="47566436">
            <wp:extent cx="5400040" cy="364490"/>
            <wp:effectExtent l="0" t="0" r="0" b="0"/>
            <wp:docPr id="1659844066" name="Imagen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400040" cy="364490"/>
                    </a:xfrm>
                    <a:prstGeom prst="rect">
                      <a:avLst/>
                    </a:prstGeom>
                    <a:noFill/>
                    <a:ln>
                      <a:noFill/>
                    </a:ln>
                  </pic:spPr>
                </pic:pic>
              </a:graphicData>
            </a:graphic>
          </wp:inline>
        </w:drawing>
      </w:r>
    </w:p>
    <w:p w14:paraId="70051FD5" w14:textId="7ECF43C0" w:rsidR="00BB1B37" w:rsidRPr="00BB1B37" w:rsidRDefault="00BB1B37" w:rsidP="00BB1B37">
      <w:pPr>
        <w:spacing w:line="276" w:lineRule="auto"/>
        <w:jc w:val="both"/>
        <w:rPr>
          <w:rFonts w:ascii="Times New Roman" w:eastAsia="Calibri" w:hAnsi="Times New Roman" w:cs="Times New Roman"/>
          <w:b/>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t>4.1 Características Técnicas:</w:t>
      </w:r>
    </w:p>
    <w:p w14:paraId="0FA330C2" w14:textId="77777777" w:rsidR="00BB1B37" w:rsidRPr="00BB1B37" w:rsidRDefault="00BB1B37" w:rsidP="00BB1B37">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El producto farmacéutico objeto de la presente contratación, deben contar con las siguientes características:</w:t>
      </w:r>
    </w:p>
    <w:p w14:paraId="0292380E" w14:textId="77777777" w:rsidR="00BB1B37" w:rsidRPr="00BB1B37" w:rsidRDefault="00BB1B37" w:rsidP="00BB1B37">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 xml:space="preserve">  Deben cumplir cada una de las características de calidad según los requisitos establecidos en la farmacopea vigente a la cual se acoge, acorde a lo autorizado en su Registro Sanitario. Cuando la forma farmacéutica del producto farmacéutico no se encuentre en las farmacopeas aceptadas por ley, el producto farmacéutico deberá cumplir con las especificaciones técnicas de calidad declaradas en la técnica analítica propia del fabricante de acuerdo a lo aceptado en su Registro Sanitario.</w:t>
      </w:r>
    </w:p>
    <w:p w14:paraId="6135A264" w14:textId="5C6662FD" w:rsidR="00BB1B37" w:rsidRPr="00BB1B37" w:rsidRDefault="00BB1B37" w:rsidP="00BB1B37">
      <w:pPr>
        <w:spacing w:line="276" w:lineRule="auto"/>
        <w:jc w:val="both"/>
        <w:rPr>
          <w:rFonts w:ascii="Times New Roman" w:eastAsia="Calibri" w:hAnsi="Times New Roman" w:cs="Times New Roman"/>
          <w:b/>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t>4.2 Condiciones de Operación:</w:t>
      </w:r>
    </w:p>
    <w:p w14:paraId="61A3C60B" w14:textId="77777777" w:rsidR="00BB1B37" w:rsidRDefault="00BB1B37" w:rsidP="00BB1B37">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No Aplica</w:t>
      </w:r>
    </w:p>
    <w:p w14:paraId="1FA55D41" w14:textId="77777777" w:rsidR="00414FB2" w:rsidRPr="00BB1B37" w:rsidRDefault="00414FB2" w:rsidP="00BB1B37">
      <w:pPr>
        <w:spacing w:line="276" w:lineRule="auto"/>
        <w:jc w:val="both"/>
        <w:rPr>
          <w:rFonts w:ascii="Times New Roman" w:eastAsia="Calibri" w:hAnsi="Times New Roman" w:cs="Times New Roman"/>
          <w:bCs/>
          <w:kern w:val="0"/>
          <w:sz w:val="20"/>
          <w:szCs w:val="20"/>
          <w:lang w:val="es-ES"/>
          <w14:ligatures w14:val="none"/>
        </w:rPr>
      </w:pPr>
    </w:p>
    <w:p w14:paraId="62F18D87" w14:textId="77777777" w:rsidR="00BB1B37" w:rsidRPr="00BB1B37" w:rsidRDefault="00BB1B37" w:rsidP="00BB1B37">
      <w:pPr>
        <w:spacing w:line="276" w:lineRule="auto"/>
        <w:jc w:val="both"/>
        <w:rPr>
          <w:rFonts w:ascii="Times New Roman" w:eastAsia="Calibri" w:hAnsi="Times New Roman" w:cs="Times New Roman"/>
          <w:b/>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t>4.3. Embalaje y Rotulo:</w:t>
      </w:r>
    </w:p>
    <w:p w14:paraId="67CF65B5" w14:textId="77777777" w:rsidR="00BB1B37" w:rsidRPr="00BB1B37" w:rsidRDefault="00BB1B37" w:rsidP="00BB1B37">
      <w:pPr>
        <w:spacing w:line="276" w:lineRule="auto"/>
        <w:jc w:val="both"/>
        <w:rPr>
          <w:rFonts w:ascii="Times New Roman" w:eastAsia="Calibri" w:hAnsi="Times New Roman" w:cs="Times New Roman"/>
          <w:b/>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t>4.3.1. Envase</w:t>
      </w:r>
    </w:p>
    <w:p w14:paraId="1A7DBFA7" w14:textId="77777777" w:rsidR="00BB1B37" w:rsidRPr="00BB1B37" w:rsidRDefault="00BB1B37" w:rsidP="00BB1B37">
      <w:pPr>
        <w:numPr>
          <w:ilvl w:val="0"/>
          <w:numId w:val="3"/>
        </w:numPr>
        <w:spacing w:after="0" w:line="276" w:lineRule="auto"/>
        <w:contextualSpacing/>
        <w:jc w:val="both"/>
        <w:rPr>
          <w:rFonts w:ascii="Times New Roman" w:eastAsia="Times New Roman" w:hAnsi="Times New Roman" w:cs="Times New Roman"/>
          <w:bCs/>
          <w:kern w:val="0"/>
          <w:sz w:val="20"/>
          <w:szCs w:val="20"/>
          <w:lang w:val="es-ES" w:eastAsia="es-ES"/>
          <w14:ligatures w14:val="none"/>
        </w:rPr>
      </w:pPr>
      <w:r w:rsidRPr="00BB1B37">
        <w:rPr>
          <w:rFonts w:ascii="Times New Roman" w:eastAsia="Times New Roman" w:hAnsi="Times New Roman" w:cs="Times New Roman"/>
          <w:bCs/>
          <w:kern w:val="0"/>
          <w:sz w:val="20"/>
          <w:szCs w:val="20"/>
          <w:lang w:val="es-ES" w:eastAsia="es-ES"/>
          <w14:ligatures w14:val="none"/>
        </w:rPr>
        <w:t>Envase inmediato: Envase según lo autorizado en el Registro Sanitario, que asegure la conservación y hermeticidad del producto, el mismo que deberá contener rotulado impreso.</w:t>
      </w:r>
    </w:p>
    <w:p w14:paraId="652E168C" w14:textId="77777777" w:rsidR="00BB1B37" w:rsidRPr="00BB1B37" w:rsidRDefault="00BB1B37" w:rsidP="00BB1B37">
      <w:pPr>
        <w:numPr>
          <w:ilvl w:val="0"/>
          <w:numId w:val="3"/>
        </w:numPr>
        <w:spacing w:after="0" w:line="276" w:lineRule="auto"/>
        <w:contextualSpacing/>
        <w:jc w:val="both"/>
        <w:rPr>
          <w:rFonts w:ascii="Times New Roman" w:eastAsia="Times New Roman" w:hAnsi="Times New Roman" w:cs="Times New Roman"/>
          <w:bCs/>
          <w:kern w:val="0"/>
          <w:sz w:val="20"/>
          <w:szCs w:val="20"/>
          <w:lang w:val="es-ES" w:eastAsia="es-ES"/>
          <w14:ligatures w14:val="none"/>
        </w:rPr>
      </w:pPr>
      <w:r w:rsidRPr="00BB1B37">
        <w:rPr>
          <w:rFonts w:ascii="Times New Roman" w:eastAsia="Times New Roman" w:hAnsi="Times New Roman" w:cs="Times New Roman"/>
          <w:bCs/>
          <w:kern w:val="0"/>
          <w:sz w:val="20"/>
          <w:szCs w:val="20"/>
          <w:lang w:val="es-ES" w:eastAsia="es-ES"/>
          <w14:ligatures w14:val="none"/>
        </w:rPr>
        <w:t>Envase mediato: Envase autorizado en el Registro Sanitario, que permita proteger el producto durante su transporte y almacenamiento.</w:t>
      </w:r>
    </w:p>
    <w:p w14:paraId="3423F17F" w14:textId="77777777" w:rsidR="00BB1B37" w:rsidRPr="00BB1B37" w:rsidRDefault="00BB1B37" w:rsidP="00BB1B37">
      <w:pPr>
        <w:spacing w:after="0" w:line="276" w:lineRule="auto"/>
        <w:ind w:left="720"/>
        <w:contextualSpacing/>
        <w:jc w:val="both"/>
        <w:rPr>
          <w:rFonts w:ascii="Times New Roman" w:eastAsia="Times New Roman" w:hAnsi="Times New Roman" w:cs="Times New Roman"/>
          <w:bCs/>
          <w:kern w:val="0"/>
          <w:sz w:val="20"/>
          <w:szCs w:val="20"/>
          <w:lang w:val="es-ES" w:eastAsia="es-ES"/>
          <w14:ligatures w14:val="none"/>
        </w:rPr>
      </w:pPr>
    </w:p>
    <w:p w14:paraId="61F4598B" w14:textId="77777777" w:rsidR="00BB1B37" w:rsidRPr="00BB1B37" w:rsidRDefault="00BB1B37" w:rsidP="00BB1B37">
      <w:pPr>
        <w:spacing w:line="276" w:lineRule="auto"/>
        <w:jc w:val="both"/>
        <w:rPr>
          <w:rFonts w:ascii="Times New Roman" w:eastAsia="Calibri" w:hAnsi="Times New Roman" w:cs="Times New Roman"/>
          <w:b/>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t>4.3.2. Embalaje</w:t>
      </w:r>
    </w:p>
    <w:p w14:paraId="761C237A" w14:textId="77777777" w:rsidR="00BB1B37" w:rsidRPr="00BB1B37" w:rsidRDefault="00BB1B37" w:rsidP="00BB1B37">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 xml:space="preserve">El embalaje de los productos farmacéuticos deberá cumplir con los siguientes requisitos: </w:t>
      </w:r>
    </w:p>
    <w:p w14:paraId="3089F46F" w14:textId="77777777" w:rsidR="00BB1B37" w:rsidRPr="00BB1B37" w:rsidRDefault="00BB1B37" w:rsidP="00BB1B37">
      <w:pPr>
        <w:numPr>
          <w:ilvl w:val="0"/>
          <w:numId w:val="4"/>
        </w:numPr>
        <w:spacing w:after="0" w:line="276" w:lineRule="auto"/>
        <w:contextualSpacing/>
        <w:jc w:val="both"/>
        <w:rPr>
          <w:rFonts w:ascii="Times New Roman" w:eastAsia="Times New Roman" w:hAnsi="Times New Roman" w:cs="Times New Roman"/>
          <w:bCs/>
          <w:kern w:val="0"/>
          <w:sz w:val="20"/>
          <w:szCs w:val="20"/>
          <w:lang w:val="es-ES" w:eastAsia="es-ES"/>
          <w14:ligatures w14:val="none"/>
        </w:rPr>
      </w:pPr>
      <w:r w:rsidRPr="00BB1B37">
        <w:rPr>
          <w:rFonts w:ascii="Times New Roman" w:eastAsia="Times New Roman" w:hAnsi="Times New Roman" w:cs="Times New Roman"/>
          <w:bCs/>
          <w:kern w:val="0"/>
          <w:sz w:val="20"/>
          <w:szCs w:val="20"/>
          <w:lang w:val="es-ES" w:eastAsia="es-ES"/>
          <w14:ligatures w14:val="none"/>
        </w:rPr>
        <w:lastRenderedPageBreak/>
        <w:t>Cajas de cartón nuevas que garanticen la integridad, orden, conservación, transporte y adecuado almacenamiento.</w:t>
      </w:r>
    </w:p>
    <w:p w14:paraId="37731C91" w14:textId="77777777" w:rsidR="00BB1B37" w:rsidRPr="00BB1B37" w:rsidRDefault="00BB1B37" w:rsidP="00BB1B37">
      <w:pPr>
        <w:numPr>
          <w:ilvl w:val="0"/>
          <w:numId w:val="4"/>
        </w:numPr>
        <w:spacing w:after="0" w:line="276" w:lineRule="auto"/>
        <w:contextualSpacing/>
        <w:jc w:val="both"/>
        <w:rPr>
          <w:rFonts w:ascii="Times New Roman" w:eastAsia="Times New Roman" w:hAnsi="Times New Roman" w:cs="Times New Roman"/>
          <w:bCs/>
          <w:kern w:val="0"/>
          <w:sz w:val="20"/>
          <w:szCs w:val="20"/>
          <w:lang w:val="es-ES" w:eastAsia="es-ES"/>
          <w14:ligatures w14:val="none"/>
        </w:rPr>
      </w:pPr>
      <w:r w:rsidRPr="00BB1B37">
        <w:rPr>
          <w:rFonts w:ascii="Times New Roman" w:eastAsia="Times New Roman" w:hAnsi="Times New Roman" w:cs="Times New Roman"/>
          <w:bCs/>
          <w:kern w:val="0"/>
          <w:sz w:val="20"/>
          <w:szCs w:val="20"/>
          <w:lang w:val="es-ES" w:eastAsia="es-ES"/>
          <w14:ligatures w14:val="none"/>
        </w:rPr>
        <w:t>Cajas que faciliten su conteo y fácil apilamiento, precisando el número de cajas apilables, será el que determine el fabricante para su proceso de almacenaje.</w:t>
      </w:r>
    </w:p>
    <w:p w14:paraId="561BC323" w14:textId="77777777" w:rsidR="00BB1B37" w:rsidRPr="00BB1B37" w:rsidRDefault="00BB1B37" w:rsidP="00BB1B37">
      <w:pPr>
        <w:numPr>
          <w:ilvl w:val="0"/>
          <w:numId w:val="4"/>
        </w:numPr>
        <w:spacing w:after="0" w:line="276" w:lineRule="auto"/>
        <w:contextualSpacing/>
        <w:jc w:val="both"/>
        <w:rPr>
          <w:rFonts w:ascii="Times New Roman" w:eastAsia="Times New Roman" w:hAnsi="Times New Roman" w:cs="Times New Roman"/>
          <w:bCs/>
          <w:kern w:val="0"/>
          <w:sz w:val="20"/>
          <w:szCs w:val="20"/>
          <w:lang w:val="es-ES" w:eastAsia="es-ES"/>
          <w14:ligatures w14:val="none"/>
        </w:rPr>
      </w:pPr>
      <w:r w:rsidRPr="00BB1B37">
        <w:rPr>
          <w:rFonts w:ascii="Times New Roman" w:eastAsia="Times New Roman" w:hAnsi="Times New Roman" w:cs="Times New Roman"/>
          <w:bCs/>
          <w:kern w:val="0"/>
          <w:sz w:val="20"/>
          <w:szCs w:val="20"/>
          <w:lang w:val="es-ES" w:eastAsia="es-ES"/>
          <w14:ligatures w14:val="none"/>
        </w:rPr>
        <w:t>Cajas debidamente rotuladas indicando nombre del Producto Farmacéutico, concentración, forma farmacéutica, presentación, cantidad, lote, fecha de vencimiento, nombre del proveedor, especificaciones para la conservación y almacenamiento.</w:t>
      </w:r>
    </w:p>
    <w:p w14:paraId="0219F51A" w14:textId="77777777" w:rsidR="00BB1B37" w:rsidRPr="00BB1B37" w:rsidRDefault="00BB1B37" w:rsidP="00BB1B37">
      <w:pPr>
        <w:numPr>
          <w:ilvl w:val="0"/>
          <w:numId w:val="4"/>
        </w:numPr>
        <w:spacing w:after="0" w:line="276" w:lineRule="auto"/>
        <w:contextualSpacing/>
        <w:jc w:val="both"/>
        <w:rPr>
          <w:rFonts w:ascii="Times New Roman" w:eastAsia="Times New Roman" w:hAnsi="Times New Roman" w:cs="Times New Roman"/>
          <w:bCs/>
          <w:kern w:val="0"/>
          <w:sz w:val="20"/>
          <w:szCs w:val="20"/>
          <w:lang w:val="es-ES" w:eastAsia="es-ES"/>
          <w14:ligatures w14:val="none"/>
        </w:rPr>
      </w:pPr>
      <w:r w:rsidRPr="00BB1B37">
        <w:rPr>
          <w:rFonts w:ascii="Times New Roman" w:eastAsia="Times New Roman" w:hAnsi="Times New Roman" w:cs="Times New Roman"/>
          <w:bCs/>
          <w:kern w:val="0"/>
          <w:sz w:val="20"/>
          <w:szCs w:val="20"/>
          <w:lang w:val="es-ES" w:eastAsia="es-ES"/>
          <w14:ligatures w14:val="none"/>
        </w:rPr>
        <w:t>Dicha información podrá ser indicada en etiquetas. Aplica a caja master, es decir a caja completa del Producto Farmacéutico.</w:t>
      </w:r>
    </w:p>
    <w:p w14:paraId="3D93BD3B" w14:textId="77777777" w:rsidR="00BB1B37" w:rsidRPr="00BB1B37" w:rsidRDefault="00BB1B37" w:rsidP="00BB1B37">
      <w:pPr>
        <w:spacing w:after="0" w:line="276" w:lineRule="auto"/>
        <w:ind w:left="720"/>
        <w:contextualSpacing/>
        <w:jc w:val="both"/>
        <w:rPr>
          <w:rFonts w:ascii="Times New Roman" w:eastAsia="Times New Roman" w:hAnsi="Times New Roman" w:cs="Times New Roman"/>
          <w:bCs/>
          <w:kern w:val="0"/>
          <w:sz w:val="20"/>
          <w:szCs w:val="20"/>
          <w:lang w:val="es-ES" w:eastAsia="es-ES"/>
          <w14:ligatures w14:val="none"/>
        </w:rPr>
      </w:pPr>
    </w:p>
    <w:p w14:paraId="67CF56F9" w14:textId="77777777" w:rsidR="00BB1B37" w:rsidRPr="00BB1B37" w:rsidRDefault="00BB1B37" w:rsidP="00BB1B37">
      <w:pPr>
        <w:spacing w:line="276" w:lineRule="auto"/>
        <w:jc w:val="both"/>
        <w:rPr>
          <w:rFonts w:ascii="Times New Roman" w:eastAsia="Calibri" w:hAnsi="Times New Roman" w:cs="Times New Roman"/>
          <w:b/>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t>4.3.3. Rotulado de los envases mediato e inmediato</w:t>
      </w:r>
    </w:p>
    <w:p w14:paraId="184886CB" w14:textId="77777777" w:rsidR="00BB1B37" w:rsidRPr="00BB1B37" w:rsidRDefault="00BB1B37" w:rsidP="00BB1B37">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Los rotulados de los envases mediato e inmediato, deben corresponder al producto farmacéutico terminado de acuerdo a lo autorizado en su Registro Sanitario; debe ser impresa con tinta indeleble y resistente a la manipulación. Tratándose del número de lote y fecha de expiración, éstos también podrán ser impresos en alto o bajo relieve.</w:t>
      </w:r>
    </w:p>
    <w:p w14:paraId="3167E8A6" w14:textId="77777777" w:rsidR="00BB1B37" w:rsidRPr="00BB1B37" w:rsidRDefault="00BB1B37" w:rsidP="00BB1B37">
      <w:pPr>
        <w:spacing w:line="276" w:lineRule="auto"/>
        <w:jc w:val="both"/>
        <w:rPr>
          <w:rFonts w:ascii="Times New Roman" w:eastAsia="Calibri" w:hAnsi="Times New Roman" w:cs="Times New Roman"/>
          <w:b/>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t>4.3.4. Inserto</w:t>
      </w:r>
    </w:p>
    <w:p w14:paraId="7A54E60B" w14:textId="77777777" w:rsidR="00BB1B37" w:rsidRPr="00BB1B37" w:rsidRDefault="00BB1B37" w:rsidP="00BB1B37">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 xml:space="preserve">Es obligatorio la inclusión del inserto con la información autorizada en su registro sanitario, según corresponda </w:t>
      </w:r>
    </w:p>
    <w:p w14:paraId="260A279D" w14:textId="77777777" w:rsidR="00BB1B37" w:rsidRPr="00BB1B37" w:rsidRDefault="00BB1B37" w:rsidP="00BB1B37">
      <w:pPr>
        <w:spacing w:line="276" w:lineRule="auto"/>
        <w:jc w:val="both"/>
        <w:rPr>
          <w:rFonts w:ascii="Times New Roman" w:eastAsia="Calibri" w:hAnsi="Times New Roman" w:cs="Times New Roman"/>
          <w:b/>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t xml:space="preserve"> 4.4. Vigencia del producto:</w:t>
      </w:r>
    </w:p>
    <w:p w14:paraId="6E9E7000" w14:textId="1B1CF7C5" w:rsidR="00BB1B37" w:rsidRPr="00BB1B37" w:rsidRDefault="00BB1B37" w:rsidP="00BB1B37">
      <w:pPr>
        <w:numPr>
          <w:ilvl w:val="0"/>
          <w:numId w:val="5"/>
        </w:numPr>
        <w:spacing w:after="0" w:line="276" w:lineRule="auto"/>
        <w:contextualSpacing/>
        <w:jc w:val="both"/>
        <w:rPr>
          <w:rFonts w:ascii="Times New Roman" w:eastAsia="Times New Roman" w:hAnsi="Times New Roman" w:cs="Times New Roman"/>
          <w:bCs/>
          <w:kern w:val="0"/>
          <w:sz w:val="20"/>
          <w:szCs w:val="20"/>
          <w:lang w:val="es-ES" w:eastAsia="es-ES"/>
          <w14:ligatures w14:val="none"/>
        </w:rPr>
      </w:pPr>
      <w:r w:rsidRPr="00BB1B37">
        <w:rPr>
          <w:rFonts w:ascii="Times New Roman" w:eastAsia="Times New Roman" w:hAnsi="Times New Roman" w:cs="Times New Roman"/>
          <w:bCs/>
          <w:kern w:val="0"/>
          <w:sz w:val="20"/>
          <w:szCs w:val="20"/>
          <w:lang w:val="es-ES" w:eastAsia="es-ES"/>
          <w14:ligatures w14:val="none"/>
        </w:rPr>
        <w:t xml:space="preserve">La vigencia mínima del medicamento debe ser igual o mayor </w:t>
      </w:r>
      <w:r w:rsidR="00414FB2">
        <w:rPr>
          <w:rFonts w:ascii="Times New Roman" w:eastAsia="Times New Roman" w:hAnsi="Times New Roman" w:cs="Times New Roman"/>
          <w:bCs/>
          <w:kern w:val="0"/>
          <w:sz w:val="20"/>
          <w:szCs w:val="20"/>
          <w:lang w:val="es-ES" w:eastAsia="es-ES"/>
          <w14:ligatures w14:val="none"/>
        </w:rPr>
        <w:t xml:space="preserve">a </w:t>
      </w:r>
      <w:r w:rsidRPr="00BB1B37">
        <w:rPr>
          <w:rFonts w:ascii="Times New Roman" w:eastAsia="Times New Roman" w:hAnsi="Times New Roman" w:cs="Times New Roman"/>
          <w:bCs/>
          <w:kern w:val="0"/>
          <w:sz w:val="20"/>
          <w:szCs w:val="20"/>
          <w:lang w:val="es-ES" w:eastAsia="es-ES"/>
          <w14:ligatures w14:val="none"/>
        </w:rPr>
        <w:t>dieciocho (18) meses, al momento de la entrega en el almacén de la entidad.</w:t>
      </w:r>
    </w:p>
    <w:p w14:paraId="4F3B9228" w14:textId="77777777" w:rsidR="00BB1B37" w:rsidRPr="00BB1B37" w:rsidRDefault="00BB1B37" w:rsidP="00BB1B37">
      <w:pPr>
        <w:numPr>
          <w:ilvl w:val="0"/>
          <w:numId w:val="5"/>
        </w:numPr>
        <w:spacing w:after="0" w:line="276" w:lineRule="auto"/>
        <w:contextualSpacing/>
        <w:jc w:val="both"/>
        <w:rPr>
          <w:rFonts w:ascii="Times New Roman" w:eastAsia="Times New Roman" w:hAnsi="Times New Roman" w:cs="Times New Roman"/>
          <w:bCs/>
          <w:kern w:val="0"/>
          <w:sz w:val="20"/>
          <w:szCs w:val="20"/>
          <w:lang w:val="es-ES" w:eastAsia="es-ES"/>
          <w14:ligatures w14:val="none"/>
        </w:rPr>
      </w:pPr>
      <w:r w:rsidRPr="00BB1B37">
        <w:rPr>
          <w:rFonts w:ascii="Times New Roman" w:eastAsia="Times New Roman" w:hAnsi="Times New Roman" w:cs="Times New Roman"/>
          <w:bCs/>
          <w:kern w:val="0"/>
          <w:sz w:val="20"/>
          <w:szCs w:val="20"/>
          <w:lang w:val="es-ES" w:eastAsia="es-ES"/>
          <w14:ligatures w14:val="none"/>
        </w:rPr>
        <w:t>Para el caso de una vigencia igual o mayor a doce (12) meses, el proveedor deberá adjuntar una carta de compromiso de canje por vencimiento, el cual será presentado al momento de internar el producto correspondiente.</w:t>
      </w:r>
    </w:p>
    <w:p w14:paraId="3B62E093" w14:textId="77777777" w:rsidR="00BB1B37" w:rsidRPr="00BB1B37" w:rsidRDefault="00BB1B37" w:rsidP="00BB1B37">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El plazo de entrega contado a partir del día siguiente de notificada la orden de compra de acuerdo al cronograma establecido.</w:t>
      </w:r>
    </w:p>
    <w:p w14:paraId="4C3C95AD" w14:textId="7B64497D" w:rsidR="00BB1B37" w:rsidRPr="00BB1B37" w:rsidRDefault="00414FB2" w:rsidP="00BB1B37">
      <w:pPr>
        <w:spacing w:line="240" w:lineRule="auto"/>
        <w:jc w:val="both"/>
        <w:rPr>
          <w:rFonts w:ascii="Times New Roman" w:eastAsia="Calibri" w:hAnsi="Times New Roman" w:cs="Times New Roman"/>
          <w:b/>
          <w:kern w:val="0"/>
          <w:sz w:val="20"/>
          <w:szCs w:val="20"/>
          <w:lang w:val="es-ES"/>
          <w14:ligatures w14:val="none"/>
        </w:rPr>
      </w:pPr>
      <w:r>
        <w:rPr>
          <w:rFonts w:ascii="Times New Roman" w:eastAsia="Calibri" w:hAnsi="Times New Roman" w:cs="Times New Roman"/>
          <w:b/>
          <w:kern w:val="0"/>
          <w:sz w:val="20"/>
          <w:szCs w:val="20"/>
          <w:lang w:val="es-ES"/>
          <w14:ligatures w14:val="none"/>
        </w:rPr>
        <w:t>5</w:t>
      </w:r>
      <w:r w:rsidR="00BB1B37" w:rsidRPr="00BB1B37">
        <w:rPr>
          <w:rFonts w:ascii="Times New Roman" w:eastAsia="Calibri" w:hAnsi="Times New Roman" w:cs="Times New Roman"/>
          <w:b/>
          <w:kern w:val="0"/>
          <w:sz w:val="20"/>
          <w:szCs w:val="20"/>
          <w:lang w:val="es-ES"/>
          <w14:ligatures w14:val="none"/>
        </w:rPr>
        <w:t>. Lugar y plazo de entrega</w:t>
      </w:r>
    </w:p>
    <w:p w14:paraId="4B46EA9C" w14:textId="529E4FA3" w:rsidR="00BB1B37" w:rsidRPr="00BB1B37" w:rsidRDefault="00BB1B37" w:rsidP="00BB1B37">
      <w:pPr>
        <w:spacing w:line="240"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Almacén de Medicamentos del Hospital Regional Cusco, Avenida de la Cultura s/n (Referencia, frente a la Puerta de Medicina UNSAAC), en horario de atención de lunes a sábado de 7:</w:t>
      </w:r>
      <w:r w:rsidR="00414FB2">
        <w:rPr>
          <w:rFonts w:ascii="Times New Roman" w:eastAsia="Calibri" w:hAnsi="Times New Roman" w:cs="Times New Roman"/>
          <w:bCs/>
          <w:kern w:val="0"/>
          <w:sz w:val="20"/>
          <w:szCs w:val="20"/>
          <w:lang w:val="es-ES"/>
          <w14:ligatures w14:val="none"/>
        </w:rPr>
        <w:t>3</w:t>
      </w:r>
      <w:r w:rsidRPr="00BB1B37">
        <w:rPr>
          <w:rFonts w:ascii="Times New Roman" w:eastAsia="Calibri" w:hAnsi="Times New Roman" w:cs="Times New Roman"/>
          <w:bCs/>
          <w:kern w:val="0"/>
          <w:sz w:val="20"/>
          <w:szCs w:val="20"/>
          <w:lang w:val="es-ES"/>
          <w14:ligatures w14:val="none"/>
        </w:rPr>
        <w:t xml:space="preserve">0 a.m. a 12:00 m. </w:t>
      </w:r>
    </w:p>
    <w:p w14:paraId="629787CC" w14:textId="0D1863E8" w:rsidR="00BB1B37" w:rsidRPr="00BB1B37" w:rsidRDefault="00414FB2" w:rsidP="00BB1B37">
      <w:pPr>
        <w:spacing w:line="240" w:lineRule="auto"/>
        <w:jc w:val="both"/>
        <w:rPr>
          <w:rFonts w:ascii="Times New Roman" w:eastAsia="Calibri" w:hAnsi="Times New Roman" w:cs="Times New Roman"/>
          <w:b/>
          <w:kern w:val="0"/>
          <w:sz w:val="20"/>
          <w:szCs w:val="20"/>
          <w:lang w:val="es-ES"/>
          <w14:ligatures w14:val="none"/>
        </w:rPr>
      </w:pPr>
      <w:r>
        <w:rPr>
          <w:rFonts w:ascii="Times New Roman" w:eastAsia="Calibri" w:hAnsi="Times New Roman" w:cs="Times New Roman"/>
          <w:b/>
          <w:kern w:val="0"/>
          <w:sz w:val="20"/>
          <w:szCs w:val="20"/>
          <w:lang w:val="es-ES"/>
          <w14:ligatures w14:val="none"/>
        </w:rPr>
        <w:t>5</w:t>
      </w:r>
      <w:r w:rsidR="00BB1B37" w:rsidRPr="00BB1B37">
        <w:rPr>
          <w:rFonts w:ascii="Times New Roman" w:eastAsia="Calibri" w:hAnsi="Times New Roman" w:cs="Times New Roman"/>
          <w:b/>
          <w:kern w:val="0"/>
          <w:sz w:val="20"/>
          <w:szCs w:val="20"/>
          <w:lang w:val="es-ES"/>
          <w14:ligatures w14:val="none"/>
        </w:rPr>
        <w:t>.1.  Plazo de entrega:</w:t>
      </w:r>
    </w:p>
    <w:p w14:paraId="6A4179F1" w14:textId="34D9E944" w:rsidR="00BB1B37" w:rsidRDefault="00BB1B37" w:rsidP="00BB1B37">
      <w:pPr>
        <w:spacing w:line="240"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La entrega de los bienes, se realizará en un plazo de (</w:t>
      </w:r>
      <w:r w:rsidR="008D16E9">
        <w:rPr>
          <w:rFonts w:ascii="Times New Roman" w:eastAsia="Calibri" w:hAnsi="Times New Roman" w:cs="Times New Roman"/>
          <w:bCs/>
          <w:kern w:val="0"/>
          <w:sz w:val="20"/>
          <w:szCs w:val="20"/>
          <w:lang w:val="es-ES"/>
          <w14:ligatures w14:val="none"/>
        </w:rPr>
        <w:t>10</w:t>
      </w:r>
      <w:r w:rsidRPr="00BB1B37">
        <w:rPr>
          <w:rFonts w:ascii="Times New Roman" w:eastAsia="Calibri" w:hAnsi="Times New Roman" w:cs="Times New Roman"/>
          <w:bCs/>
          <w:kern w:val="0"/>
          <w:sz w:val="20"/>
          <w:szCs w:val="20"/>
          <w:lang w:val="es-ES"/>
          <w14:ligatures w14:val="none"/>
        </w:rPr>
        <w:t xml:space="preserve">) días calendarios, computado a partir del día siguiente de la </w:t>
      </w:r>
      <w:r w:rsidR="008D16E9">
        <w:rPr>
          <w:rFonts w:ascii="Times New Roman" w:eastAsia="Calibri" w:hAnsi="Times New Roman" w:cs="Times New Roman"/>
          <w:bCs/>
          <w:kern w:val="0"/>
          <w:sz w:val="20"/>
          <w:szCs w:val="20"/>
          <w:lang w:val="es-ES"/>
          <w14:ligatures w14:val="none"/>
        </w:rPr>
        <w:t>notifica</w:t>
      </w:r>
      <w:r w:rsidRPr="00BB1B37">
        <w:rPr>
          <w:rFonts w:ascii="Times New Roman" w:eastAsia="Calibri" w:hAnsi="Times New Roman" w:cs="Times New Roman"/>
          <w:bCs/>
          <w:kern w:val="0"/>
          <w:sz w:val="20"/>
          <w:szCs w:val="20"/>
          <w:lang w:val="es-ES"/>
          <w14:ligatures w14:val="none"/>
        </w:rPr>
        <w:t>ción de la Orden de Compra.</w:t>
      </w:r>
    </w:p>
    <w:p w14:paraId="6CF014C6" w14:textId="2FA79F1F" w:rsidR="00BB1B37" w:rsidRPr="00BB1B37" w:rsidRDefault="00414FB2" w:rsidP="00BB1B37">
      <w:pPr>
        <w:spacing w:line="276" w:lineRule="auto"/>
        <w:jc w:val="both"/>
        <w:rPr>
          <w:rFonts w:ascii="Times New Roman" w:eastAsia="Calibri" w:hAnsi="Times New Roman" w:cs="Times New Roman"/>
          <w:b/>
          <w:kern w:val="0"/>
          <w:sz w:val="20"/>
          <w:szCs w:val="20"/>
          <w:lang w:val="es-ES"/>
          <w14:ligatures w14:val="none"/>
        </w:rPr>
      </w:pPr>
      <w:r>
        <w:rPr>
          <w:rFonts w:ascii="Times New Roman" w:eastAsia="Calibri" w:hAnsi="Times New Roman" w:cs="Times New Roman"/>
          <w:b/>
          <w:kern w:val="0"/>
          <w:sz w:val="20"/>
          <w:szCs w:val="20"/>
          <w:lang w:val="es-ES"/>
          <w14:ligatures w14:val="none"/>
        </w:rPr>
        <w:t>6</w:t>
      </w:r>
      <w:r w:rsidR="00BB1B37" w:rsidRPr="00BB1B37">
        <w:rPr>
          <w:rFonts w:ascii="Times New Roman" w:eastAsia="Calibri" w:hAnsi="Times New Roman" w:cs="Times New Roman"/>
          <w:b/>
          <w:kern w:val="0"/>
          <w:sz w:val="20"/>
          <w:szCs w:val="20"/>
          <w:lang w:val="es-ES"/>
          <w14:ligatures w14:val="none"/>
        </w:rPr>
        <w:t>. Consideraciones para la recepción de los Bienes</w:t>
      </w:r>
    </w:p>
    <w:p w14:paraId="5159E44B" w14:textId="77777777" w:rsidR="00BB1B37" w:rsidRPr="00BB1B37" w:rsidRDefault="00BB1B37" w:rsidP="00BB1B37">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En el Acto de Recepción de los bienes que formaran parte de la entrega, el proveedor deberá entregar en el Almacen de Medicamentos del Hospital Regional Cusco, copia simple de los siguientes documentos, a fin de llevar a cabo la conformidad de recepción:</w:t>
      </w:r>
    </w:p>
    <w:p w14:paraId="0097EE89" w14:textId="77777777" w:rsidR="00BB1B37" w:rsidRPr="00BB1B37" w:rsidRDefault="00BB1B37" w:rsidP="00BB1B37">
      <w:pPr>
        <w:numPr>
          <w:ilvl w:val="0"/>
          <w:numId w:val="6"/>
        </w:numPr>
        <w:spacing w:after="0" w:line="276" w:lineRule="auto"/>
        <w:contextualSpacing/>
        <w:jc w:val="both"/>
        <w:rPr>
          <w:rFonts w:ascii="Times New Roman" w:eastAsia="Times New Roman" w:hAnsi="Times New Roman" w:cs="Times New Roman"/>
          <w:bCs/>
          <w:kern w:val="0"/>
          <w:sz w:val="20"/>
          <w:szCs w:val="20"/>
          <w:lang w:val="es-ES" w:eastAsia="es-ES"/>
          <w14:ligatures w14:val="none"/>
        </w:rPr>
      </w:pPr>
      <w:r w:rsidRPr="00BB1B37">
        <w:rPr>
          <w:rFonts w:ascii="Times New Roman" w:eastAsia="Times New Roman" w:hAnsi="Times New Roman" w:cs="Times New Roman"/>
          <w:bCs/>
          <w:kern w:val="0"/>
          <w:sz w:val="20"/>
          <w:szCs w:val="20"/>
          <w:lang w:val="es-ES" w:eastAsia="es-ES"/>
          <w14:ligatures w14:val="none"/>
        </w:rPr>
        <w:t>Orden de Compra — Guía de Internamiento (copia).</w:t>
      </w:r>
    </w:p>
    <w:p w14:paraId="5FA6B6B7" w14:textId="77777777" w:rsidR="00BB1B37" w:rsidRPr="00BB1B37" w:rsidRDefault="00BB1B37" w:rsidP="00BB1B37">
      <w:pPr>
        <w:numPr>
          <w:ilvl w:val="0"/>
          <w:numId w:val="6"/>
        </w:numPr>
        <w:spacing w:after="0" w:line="276" w:lineRule="auto"/>
        <w:contextualSpacing/>
        <w:jc w:val="both"/>
        <w:rPr>
          <w:rFonts w:ascii="Times New Roman" w:eastAsia="Times New Roman" w:hAnsi="Times New Roman" w:cs="Times New Roman"/>
          <w:bCs/>
          <w:kern w:val="0"/>
          <w:sz w:val="20"/>
          <w:szCs w:val="20"/>
          <w:lang w:val="es-ES" w:eastAsia="es-ES"/>
          <w14:ligatures w14:val="none"/>
        </w:rPr>
      </w:pPr>
      <w:r w:rsidRPr="00BB1B37">
        <w:rPr>
          <w:rFonts w:ascii="Times New Roman" w:eastAsia="Times New Roman" w:hAnsi="Times New Roman" w:cs="Times New Roman"/>
          <w:bCs/>
          <w:kern w:val="0"/>
          <w:sz w:val="20"/>
          <w:szCs w:val="20"/>
          <w:lang w:val="es-ES" w:eastAsia="es-ES"/>
          <w14:ligatures w14:val="none"/>
        </w:rPr>
        <w:t xml:space="preserve">Guía de Remisión (Destinatario + SUNAT + 02 Copias adicionales). Esta deberá consignar en forma obligatoria para cada ítem el número de lote y la cantidad entregada por lote. </w:t>
      </w:r>
    </w:p>
    <w:p w14:paraId="6BA677D2" w14:textId="77777777" w:rsidR="00BB1B37" w:rsidRPr="00BB1B37" w:rsidRDefault="00BB1B37" w:rsidP="00BB1B37">
      <w:pPr>
        <w:numPr>
          <w:ilvl w:val="0"/>
          <w:numId w:val="6"/>
        </w:numPr>
        <w:spacing w:after="0" w:line="276" w:lineRule="auto"/>
        <w:contextualSpacing/>
        <w:jc w:val="both"/>
        <w:rPr>
          <w:rFonts w:ascii="Times New Roman" w:eastAsia="Times New Roman" w:hAnsi="Times New Roman" w:cs="Times New Roman"/>
          <w:bCs/>
          <w:kern w:val="0"/>
          <w:sz w:val="20"/>
          <w:szCs w:val="20"/>
          <w:lang w:val="es-ES" w:eastAsia="es-ES"/>
          <w14:ligatures w14:val="none"/>
        </w:rPr>
      </w:pPr>
      <w:r w:rsidRPr="00BB1B37">
        <w:rPr>
          <w:rFonts w:ascii="Times New Roman" w:eastAsia="Times New Roman" w:hAnsi="Times New Roman" w:cs="Times New Roman"/>
          <w:bCs/>
          <w:kern w:val="0"/>
          <w:sz w:val="20"/>
          <w:szCs w:val="20"/>
          <w:lang w:val="es-ES" w:eastAsia="es-ES"/>
          <w14:ligatures w14:val="none"/>
        </w:rPr>
        <w:t>Copia simple de la Resolución Directoral del Registro Sanitario o Certificado de Registro Sanitario vigente; de acuerdo a los requisitos documentarios mínimos del proveedor del bien.</w:t>
      </w:r>
    </w:p>
    <w:p w14:paraId="6C4F94D8" w14:textId="77777777" w:rsidR="00BB1B37" w:rsidRPr="00BB1B37" w:rsidRDefault="00BB1B37" w:rsidP="00BB1B37">
      <w:pPr>
        <w:numPr>
          <w:ilvl w:val="0"/>
          <w:numId w:val="6"/>
        </w:numPr>
        <w:spacing w:after="0" w:line="276" w:lineRule="auto"/>
        <w:contextualSpacing/>
        <w:jc w:val="both"/>
        <w:rPr>
          <w:rFonts w:ascii="Times New Roman" w:eastAsia="Times New Roman" w:hAnsi="Times New Roman" w:cs="Times New Roman"/>
          <w:bCs/>
          <w:kern w:val="0"/>
          <w:sz w:val="20"/>
          <w:szCs w:val="20"/>
          <w:lang w:val="es-ES" w:eastAsia="es-ES"/>
          <w14:ligatures w14:val="none"/>
        </w:rPr>
      </w:pPr>
      <w:r w:rsidRPr="00BB1B37">
        <w:rPr>
          <w:rFonts w:ascii="Times New Roman" w:eastAsia="Times New Roman" w:hAnsi="Times New Roman" w:cs="Times New Roman"/>
          <w:bCs/>
          <w:kern w:val="0"/>
          <w:sz w:val="20"/>
          <w:szCs w:val="20"/>
          <w:lang w:val="es-ES" w:eastAsia="es-ES"/>
          <w14:ligatures w14:val="none"/>
        </w:rPr>
        <w:t xml:space="preserve">Copia del Certificado de Análisis emitido por el fabricante o quien encarga su fabricación, según lo dispuesto en la norma correspondiente. </w:t>
      </w:r>
    </w:p>
    <w:p w14:paraId="1D2E4D90" w14:textId="77777777" w:rsidR="00BB1B37" w:rsidRPr="00BB1B37" w:rsidRDefault="00BB1B37" w:rsidP="00BB1B37">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lastRenderedPageBreak/>
        <w:t xml:space="preserve">El Almacen de Medicamentos del Hospital Regional Cusco no está obligado a recibir los bienes si no han sido presentados todos los documentos que corresponde a la entrega, o si se detecta que no corresponde el producto con lo solicitado (vigencia del producto, forma de presentación, logotipo, entre otros). </w:t>
      </w:r>
    </w:p>
    <w:p w14:paraId="14624669" w14:textId="5639C225" w:rsidR="00BB1B37" w:rsidRPr="00BB1B37" w:rsidRDefault="00414FB2" w:rsidP="00BB1B37">
      <w:pPr>
        <w:spacing w:line="276" w:lineRule="auto"/>
        <w:jc w:val="both"/>
        <w:rPr>
          <w:rFonts w:ascii="Times New Roman" w:eastAsia="Calibri" w:hAnsi="Times New Roman" w:cs="Times New Roman"/>
          <w:b/>
          <w:kern w:val="0"/>
          <w:sz w:val="20"/>
          <w:szCs w:val="20"/>
          <w:lang w:val="es-ES"/>
          <w14:ligatures w14:val="none"/>
        </w:rPr>
      </w:pPr>
      <w:r>
        <w:rPr>
          <w:rFonts w:ascii="Times New Roman" w:eastAsia="Calibri" w:hAnsi="Times New Roman" w:cs="Times New Roman"/>
          <w:b/>
          <w:kern w:val="0"/>
          <w:sz w:val="20"/>
          <w:szCs w:val="20"/>
          <w:lang w:val="es-ES"/>
          <w14:ligatures w14:val="none"/>
        </w:rPr>
        <w:t>7</w:t>
      </w:r>
      <w:r w:rsidR="00BB1B37" w:rsidRPr="00BB1B37">
        <w:rPr>
          <w:rFonts w:ascii="Times New Roman" w:eastAsia="Calibri" w:hAnsi="Times New Roman" w:cs="Times New Roman"/>
          <w:b/>
          <w:kern w:val="0"/>
          <w:sz w:val="20"/>
          <w:szCs w:val="20"/>
          <w:lang w:val="es-ES"/>
          <w14:ligatures w14:val="none"/>
        </w:rPr>
        <w:t>. Conformidad</w:t>
      </w:r>
    </w:p>
    <w:p w14:paraId="1933ED5C" w14:textId="77777777" w:rsidR="00BB1B37" w:rsidRPr="00BB1B37" w:rsidRDefault="00BB1B37" w:rsidP="00BB1B37">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La conformidad de la prestación se regula por lo dispuesto en el artículo 144 del RLGCP, de acuerdo a lo siguiente:</w:t>
      </w:r>
    </w:p>
    <w:p w14:paraId="78259346" w14:textId="77777777" w:rsidR="00BB1B37" w:rsidRPr="00BB1B37" w:rsidRDefault="00BB1B37" w:rsidP="00BB1B37">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La conformidad será otorgada a través del Informe emitido por el jefe del Almacen de Medicamentos del Hospital Regional Cusco en un plazo máximo de siete (7) días de producida la recepción.</w:t>
      </w:r>
    </w:p>
    <w:p w14:paraId="548FCEC1" w14:textId="77777777" w:rsidR="00BB1B37" w:rsidRPr="00BB1B37" w:rsidRDefault="00BB1B37" w:rsidP="00BB1B37">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Para efectos de la emisión de la conformidad, el contratista debe presentar la siguiente documentación:</w:t>
      </w:r>
    </w:p>
    <w:p w14:paraId="2BFB925D" w14:textId="77777777" w:rsidR="00BB1B37" w:rsidRPr="00BB1B37" w:rsidRDefault="00BB1B37" w:rsidP="00BB1B37">
      <w:pPr>
        <w:numPr>
          <w:ilvl w:val="0"/>
          <w:numId w:val="7"/>
        </w:numPr>
        <w:spacing w:after="0" w:line="276" w:lineRule="auto"/>
        <w:contextualSpacing/>
        <w:jc w:val="both"/>
        <w:rPr>
          <w:rFonts w:ascii="Times New Roman" w:eastAsia="Times New Roman" w:hAnsi="Times New Roman" w:cs="Times New Roman"/>
          <w:bCs/>
          <w:kern w:val="0"/>
          <w:sz w:val="20"/>
          <w:szCs w:val="20"/>
          <w:lang w:val="es-ES" w:eastAsia="es-ES"/>
          <w14:ligatures w14:val="none"/>
        </w:rPr>
      </w:pPr>
      <w:r w:rsidRPr="00BB1B37">
        <w:rPr>
          <w:rFonts w:ascii="Times New Roman" w:eastAsia="Times New Roman" w:hAnsi="Times New Roman" w:cs="Times New Roman"/>
          <w:bCs/>
          <w:kern w:val="0"/>
          <w:sz w:val="20"/>
          <w:szCs w:val="20"/>
          <w:lang w:val="es-ES" w:eastAsia="es-ES"/>
          <w14:ligatures w14:val="none"/>
        </w:rPr>
        <w:t>Guía de Remisión (Destinatario + SUNAT), debidamente suscrito detallando la fecha de recepción de los bienes.</w:t>
      </w:r>
    </w:p>
    <w:p w14:paraId="6D2AC1DD" w14:textId="77777777" w:rsidR="00BB1B37" w:rsidRPr="00BB1B37" w:rsidRDefault="00BB1B37" w:rsidP="00BB1B37">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De existir observaciones, El Almacen de Medicamentos del Hospital Regional Cusco, las comunica al CONTRATISTA, indicando claramente el sentido de estas, otorgándole un plazo para subsanar el cual no debe ser mayor al 30% del plazo del entregable correspondiente, dependiendo de la complejidad o sofisticación de las subsanaciones a realizar. Si pese al plazo otorgado, EL CONTRATISTA no cumpliese a cabalidad con la subsanación, la Entidad puede otorgar al CONTRATISTA periodos adicionales para las correcciones pertinentes. En este supuesto corresponde aplicar la penalidad por mora desde el vencimiento del plazo para subsanar sin considerar los días en los que pudiera incurrir la DEC para efectuar las revisiones y notificar las observaciones correspondientes.</w:t>
      </w:r>
    </w:p>
    <w:p w14:paraId="1C5C3173" w14:textId="77777777" w:rsidR="00BB1B37" w:rsidRPr="00BB1B37" w:rsidRDefault="00BB1B37" w:rsidP="00BB1B37">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Este procedimiento no resulta aplicable cuando los bienes manifiestamente no cumplan con las características y condiciones ofrecidas, en cuyo caso El Almacen de Medicamentos del Hospital Regional Cusco no efectúa la recepción o no otorga la conformidad, según corresponda, debiendo considerarse como no ejecutada la prestación, aplicándose la penalidad que corresponda por cada día de atraso.</w:t>
      </w:r>
    </w:p>
    <w:p w14:paraId="17E1CD7D" w14:textId="416BBDEC" w:rsidR="00BB1B37" w:rsidRPr="00BB1B37" w:rsidRDefault="00414FB2" w:rsidP="00BB1B37">
      <w:pPr>
        <w:spacing w:line="276" w:lineRule="auto"/>
        <w:jc w:val="both"/>
        <w:rPr>
          <w:rFonts w:ascii="Times New Roman" w:eastAsia="Calibri" w:hAnsi="Times New Roman" w:cs="Times New Roman"/>
          <w:b/>
          <w:kern w:val="0"/>
          <w:sz w:val="20"/>
          <w:szCs w:val="20"/>
          <w:lang w:val="es-ES"/>
          <w14:ligatures w14:val="none"/>
        </w:rPr>
      </w:pPr>
      <w:r>
        <w:rPr>
          <w:rFonts w:ascii="Times New Roman" w:eastAsia="Calibri" w:hAnsi="Times New Roman" w:cs="Times New Roman"/>
          <w:b/>
          <w:kern w:val="0"/>
          <w:sz w:val="20"/>
          <w:szCs w:val="20"/>
          <w:lang w:val="es-ES"/>
          <w14:ligatures w14:val="none"/>
        </w:rPr>
        <w:t>8</w:t>
      </w:r>
      <w:r w:rsidR="00BB1B37" w:rsidRPr="00BB1B37">
        <w:rPr>
          <w:rFonts w:ascii="Times New Roman" w:eastAsia="Calibri" w:hAnsi="Times New Roman" w:cs="Times New Roman"/>
          <w:b/>
          <w:kern w:val="0"/>
          <w:sz w:val="20"/>
          <w:szCs w:val="20"/>
          <w:lang w:val="es-ES"/>
          <w14:ligatures w14:val="none"/>
        </w:rPr>
        <w:t>. Forma y Condiciones de Pago:</w:t>
      </w:r>
    </w:p>
    <w:p w14:paraId="4C94FD8A" w14:textId="77777777" w:rsidR="00BB1B37" w:rsidRPr="00BB1B37" w:rsidRDefault="00BB1B37" w:rsidP="00BB1B37">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El pago se realizará en una sola armada, de conformidad con lo establecido en el artículo 67 de la Ley.</w:t>
      </w:r>
    </w:p>
    <w:p w14:paraId="183CDE1F" w14:textId="1E620718" w:rsidR="00BB1B37" w:rsidRDefault="00BB1B37" w:rsidP="00414FB2">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 xml:space="preserve">La Entidad paga las contraprestaciones pactadas a favor del contratista dentro de los diez (10) días hábiles siguientes de otorgada la conformidad por parte del área usuaria y es prorrogable, previa justificación de la demora, por cinco días hábiles. La Entidad realiza el pago de la contraprestación pactada a favor del contratista en SOLES, en un PAGO ÚNICO, luego de la recepción formal y completa de la documentación correspondiente, según lo establecido en el artículo 144 del Reglamento de la Ley N° 32069, Ley General de Contrataciones Públicas, aprobado por Decreto Supremo N O 009-2025-EF. </w:t>
      </w:r>
    </w:p>
    <w:p w14:paraId="18F91A4D" w14:textId="77777777" w:rsidR="00414FB2" w:rsidRDefault="00414FB2" w:rsidP="00414FB2">
      <w:pPr>
        <w:spacing w:line="276" w:lineRule="auto"/>
        <w:jc w:val="both"/>
        <w:rPr>
          <w:rFonts w:ascii="Times New Roman" w:eastAsia="Calibri" w:hAnsi="Times New Roman" w:cs="Times New Roman"/>
          <w:bCs/>
          <w:kern w:val="0"/>
          <w:sz w:val="20"/>
          <w:szCs w:val="20"/>
          <w:lang w:val="es-ES"/>
          <w14:ligatures w14:val="none"/>
        </w:rPr>
      </w:pPr>
    </w:p>
    <w:p w14:paraId="72220A0D" w14:textId="77777777" w:rsidR="00BB1B37" w:rsidRPr="00BB1B37" w:rsidRDefault="00BB1B37" w:rsidP="00BB1B37">
      <w:pPr>
        <w:spacing w:line="276" w:lineRule="auto"/>
        <w:jc w:val="both"/>
        <w:rPr>
          <w:rFonts w:ascii="Times New Roman" w:eastAsia="Calibri" w:hAnsi="Times New Roman" w:cs="Times New Roman"/>
          <w:b/>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t>Penalidades</w:t>
      </w:r>
    </w:p>
    <w:p w14:paraId="1EE876CE" w14:textId="77777777" w:rsidR="00BB1B37" w:rsidRPr="00BB1B37" w:rsidRDefault="00BB1B37" w:rsidP="00BB1B37">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En caso de retraso injustificado del contratista en la ejecución de las prestaciones objeto del contrato, la DEC le aplica automáticamente una penalidad por mora por cada día de atraso que le sea imputable, La penalidad se aplica automáticamente y se calcula de acuerdo con la siguiente fórmula:</w:t>
      </w:r>
    </w:p>
    <w:p w14:paraId="57228DD5" w14:textId="77777777" w:rsidR="00BB1B37" w:rsidRPr="00BB1B37" w:rsidRDefault="00BB1B37" w:rsidP="00BB1B37">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noProof/>
          <w:kern w:val="0"/>
          <w:sz w:val="20"/>
          <w:szCs w:val="20"/>
          <w:lang w:val="es-ES"/>
          <w14:ligatures w14:val="none"/>
        </w:rPr>
        <mc:AlternateContent>
          <mc:Choice Requires="wps">
            <w:drawing>
              <wp:anchor distT="0" distB="0" distL="114300" distR="114300" simplePos="0" relativeHeight="251659264" behindDoc="0" locked="0" layoutInCell="1" allowOverlap="1" wp14:anchorId="1AF40A84" wp14:editId="1F44285F">
                <wp:simplePos x="0" y="0"/>
                <wp:positionH relativeFrom="column">
                  <wp:posOffset>1529715</wp:posOffset>
                </wp:positionH>
                <wp:positionV relativeFrom="paragraph">
                  <wp:posOffset>195579</wp:posOffset>
                </wp:positionV>
                <wp:extent cx="819150" cy="0"/>
                <wp:effectExtent l="0" t="0" r="0" b="0"/>
                <wp:wrapNone/>
                <wp:docPr id="1950835075" name="Conector recto 736"/>
                <wp:cNvGraphicFramePr/>
                <a:graphic xmlns:a="http://schemas.openxmlformats.org/drawingml/2006/main">
                  <a:graphicData uri="http://schemas.microsoft.com/office/word/2010/wordprocessingShape">
                    <wps:wsp>
                      <wps:cNvCnPr/>
                      <wps:spPr>
                        <a:xfrm flipV="1">
                          <a:off x="0" y="0"/>
                          <a:ext cx="819150" cy="0"/>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13C48290" id="Conector recto 736"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20.45pt,15.4pt" to="184.95pt,1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" strokecolor="windowText" strokeweight=".5pt">
                <v:stroke joinstyle="miter"/>
              </v:line>
            </w:pict>
          </mc:Fallback>
        </mc:AlternateContent>
      </w:r>
      <w:r w:rsidRPr="00BB1B37">
        <w:rPr>
          <w:rFonts w:ascii="Times New Roman" w:eastAsia="Calibri" w:hAnsi="Times New Roman" w:cs="Times New Roman"/>
          <w:bCs/>
          <w:kern w:val="0"/>
          <w:sz w:val="20"/>
          <w:szCs w:val="20"/>
          <w:lang w:val="es-ES"/>
          <w14:ligatures w14:val="none"/>
        </w:rPr>
        <w:tab/>
        <w:t>Penalidad diaria    =    0.10 X monto</w:t>
      </w:r>
    </w:p>
    <w:p w14:paraId="63A80BC7" w14:textId="77777777" w:rsidR="00BB1B37" w:rsidRPr="00BB1B37" w:rsidRDefault="00BB1B37" w:rsidP="00BB1B37">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 xml:space="preserve">                                                FX plazo en días</w:t>
      </w:r>
    </w:p>
    <w:p w14:paraId="40D8C49C" w14:textId="77777777" w:rsidR="00BB1B37" w:rsidRPr="00BB1B37" w:rsidRDefault="00BB1B37" w:rsidP="00BB1B37">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Donde F tiene los siguientes valores: F 0.40</w:t>
      </w:r>
    </w:p>
    <w:p w14:paraId="56FB5D0D" w14:textId="77777777" w:rsidR="00BB1B37" w:rsidRPr="00BB1B37" w:rsidRDefault="00BB1B37" w:rsidP="00BB1B37">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 xml:space="preserve">Tanto el monto como el plazo se refieren, según corresponda, al monto vigente del contrato, componente o ítem que debió ejecutarse o, en caso de que estos involucren entregables cuantificables en monto y plazo, al monto y plazo del entregable que fuera materia de retraso.El retraso se justifica a través de la solicitud </w:t>
      </w:r>
      <w:r w:rsidRPr="00BB1B37">
        <w:rPr>
          <w:rFonts w:ascii="Times New Roman" w:eastAsia="Calibri" w:hAnsi="Times New Roman" w:cs="Times New Roman"/>
          <w:bCs/>
          <w:kern w:val="0"/>
          <w:sz w:val="20"/>
          <w:szCs w:val="20"/>
          <w:lang w:val="es-ES"/>
          <w14:ligatures w14:val="none"/>
        </w:rPr>
        <w:lastRenderedPageBreak/>
        <w:t>de ampliación de plazo debidamente aprobado. Adicionalmente, se considera justificado el retraso y en consecuencia no se aplica penalidad, cuando EL CONTRATISTA acredite, de modo objetivamente sustentado, que el mayor tiempo transcurrido no le resulta imputable. En este último caso la calificación del retraso como justificado por parte de la Jefatura de Farmacia no da lugar al pago de gastos generales ni costos directos de ningún tipo, conforme al numeral 120,4 del artículo 120 del Reglamento de la Ley N O 32069, Ley General de Contrataciones Públicas, aprobado por Decreto Supremo N O 009-2025-EF. Las penalidades se deducen de los pagos a cuenta, pagos parciales o del pago final, según corresponda.</w:t>
      </w:r>
    </w:p>
    <w:p w14:paraId="042DA766" w14:textId="78274046" w:rsidR="00BB1B37" w:rsidRPr="00BB1B37" w:rsidRDefault="00414FB2" w:rsidP="00BB1B37">
      <w:pPr>
        <w:spacing w:line="276" w:lineRule="auto"/>
        <w:jc w:val="both"/>
        <w:rPr>
          <w:rFonts w:ascii="Times New Roman" w:eastAsia="Calibri" w:hAnsi="Times New Roman" w:cs="Times New Roman"/>
          <w:b/>
          <w:kern w:val="0"/>
          <w:sz w:val="20"/>
          <w:szCs w:val="20"/>
          <w:lang w:val="es-ES"/>
          <w14:ligatures w14:val="none"/>
        </w:rPr>
      </w:pPr>
      <w:r>
        <w:rPr>
          <w:rFonts w:ascii="Times New Roman" w:eastAsia="Calibri" w:hAnsi="Times New Roman" w:cs="Times New Roman"/>
          <w:b/>
          <w:kern w:val="0"/>
          <w:sz w:val="20"/>
          <w:szCs w:val="20"/>
          <w:lang w:val="es-ES"/>
          <w14:ligatures w14:val="none"/>
        </w:rPr>
        <w:t>9</w:t>
      </w:r>
      <w:r w:rsidR="00BB1B37" w:rsidRPr="00BB1B37">
        <w:rPr>
          <w:rFonts w:ascii="Times New Roman" w:eastAsia="Calibri" w:hAnsi="Times New Roman" w:cs="Times New Roman"/>
          <w:b/>
          <w:kern w:val="0"/>
          <w:sz w:val="20"/>
          <w:szCs w:val="20"/>
          <w:lang w:val="es-ES"/>
          <w14:ligatures w14:val="none"/>
        </w:rPr>
        <w:t>. Responsabilidad por Vicios Ocultos</w:t>
      </w:r>
      <w:r w:rsidR="00BB1B37" w:rsidRPr="00BB1B37">
        <w:rPr>
          <w:rFonts w:ascii="Times New Roman" w:eastAsia="Calibri" w:hAnsi="Times New Roman" w:cs="Times New Roman"/>
          <w:b/>
          <w:kern w:val="0"/>
          <w:sz w:val="20"/>
          <w:szCs w:val="20"/>
          <w:lang w:val="es-ES"/>
          <w14:ligatures w14:val="none"/>
        </w:rPr>
        <w:tab/>
      </w:r>
    </w:p>
    <w:p w14:paraId="667BA834" w14:textId="50AC30D7" w:rsidR="00BB1B37" w:rsidRPr="00BB1B37" w:rsidRDefault="00BB1B37" w:rsidP="00BB1B37">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 xml:space="preserve">La conformidad de recepción de la prestación por parte de LA ENTIDAD no enerva su derecho a reclamar posteriormente por defectos o vicios u otras situaciones anómalas no detectables o no verificables durante la recepción de los productos farmacéuticos, por causas atribuibles al Contratista, debiendo proceder a la reposición o canje total del lote de los bienes que se hayan detectado en las situaciones descritas. El plazo máximo de responsabilidad del contratista es de dos (2) años, contados a partir de la conformidad otorgada por LA </w:t>
      </w:r>
      <w:r w:rsidR="00414FB2" w:rsidRPr="00BB1B37">
        <w:rPr>
          <w:rFonts w:ascii="Times New Roman" w:eastAsia="Calibri" w:hAnsi="Times New Roman" w:cs="Times New Roman"/>
          <w:bCs/>
          <w:kern w:val="0"/>
          <w:sz w:val="20"/>
          <w:szCs w:val="20"/>
          <w:lang w:val="es-ES"/>
          <w14:ligatures w14:val="none"/>
        </w:rPr>
        <w:t>ENTIDAD El</w:t>
      </w:r>
      <w:r w:rsidRPr="00BB1B37">
        <w:rPr>
          <w:rFonts w:ascii="Times New Roman" w:eastAsia="Calibri" w:hAnsi="Times New Roman" w:cs="Times New Roman"/>
          <w:bCs/>
          <w:kern w:val="0"/>
          <w:sz w:val="20"/>
          <w:szCs w:val="20"/>
          <w:lang w:val="es-ES"/>
          <w14:ligatures w14:val="none"/>
        </w:rPr>
        <w:t xml:space="preserve"> proveedor deberá presentar Declaración Jurada de Compromiso de Canje y/o reposición por vicios ocultos, los productos a ingresar en el canje tendrán una vigencia igual o mayor a lo ofertado en el proceso de selección</w:t>
      </w:r>
    </w:p>
    <w:p w14:paraId="7EE64811" w14:textId="043C4871" w:rsidR="00BB1B37" w:rsidRPr="00BB1B37" w:rsidRDefault="00BB1B37" w:rsidP="00BB1B37">
      <w:pPr>
        <w:spacing w:line="276" w:lineRule="auto"/>
        <w:jc w:val="both"/>
        <w:rPr>
          <w:rFonts w:ascii="Times New Roman" w:eastAsia="Calibri" w:hAnsi="Times New Roman" w:cs="Times New Roman"/>
          <w:b/>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t>1</w:t>
      </w:r>
      <w:r w:rsidR="000F15D7">
        <w:rPr>
          <w:rFonts w:ascii="Times New Roman" w:eastAsia="Calibri" w:hAnsi="Times New Roman" w:cs="Times New Roman"/>
          <w:b/>
          <w:kern w:val="0"/>
          <w:sz w:val="20"/>
          <w:szCs w:val="20"/>
          <w:lang w:val="es-ES"/>
          <w14:ligatures w14:val="none"/>
        </w:rPr>
        <w:t>0</w:t>
      </w:r>
      <w:r w:rsidRPr="00BB1B37">
        <w:rPr>
          <w:rFonts w:ascii="Times New Roman" w:eastAsia="Calibri" w:hAnsi="Times New Roman" w:cs="Times New Roman"/>
          <w:b/>
          <w:kern w:val="0"/>
          <w:sz w:val="20"/>
          <w:szCs w:val="20"/>
          <w:lang w:val="es-ES"/>
          <w14:ligatures w14:val="none"/>
        </w:rPr>
        <w:t>. Gestión de Riesgos</w:t>
      </w:r>
    </w:p>
    <w:p w14:paraId="6367A5EA" w14:textId="77777777" w:rsidR="00BB1B37" w:rsidRPr="00BB1B37" w:rsidRDefault="00BB1B37" w:rsidP="00BB1B37">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 xml:space="preserve">Las partes realizan la gestión de riesgos de acuerdo con lo establecido en el presente documento, a fin de tomar decisiones informadas, aprovechando el impacto de riesgos positivos y disminuyendo la probabilidad de los riesgos negativos y su impacto durante la ejecución contractual, considerando la finalidad pública de la contratación. </w:t>
      </w:r>
    </w:p>
    <w:p w14:paraId="1A54F806" w14:textId="695338DB" w:rsidR="00BB1B37" w:rsidRPr="00BB1B37" w:rsidRDefault="00BB1B37" w:rsidP="00BB1B37">
      <w:pPr>
        <w:spacing w:line="276" w:lineRule="auto"/>
        <w:jc w:val="both"/>
        <w:rPr>
          <w:rFonts w:ascii="Times New Roman" w:eastAsia="Calibri" w:hAnsi="Times New Roman" w:cs="Times New Roman"/>
          <w:b/>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t>1</w:t>
      </w:r>
      <w:r w:rsidR="000F15D7">
        <w:rPr>
          <w:rFonts w:ascii="Times New Roman" w:eastAsia="Calibri" w:hAnsi="Times New Roman" w:cs="Times New Roman"/>
          <w:b/>
          <w:kern w:val="0"/>
          <w:sz w:val="20"/>
          <w:szCs w:val="20"/>
          <w:lang w:val="es-ES"/>
          <w14:ligatures w14:val="none"/>
        </w:rPr>
        <w:t>1</w:t>
      </w:r>
      <w:r w:rsidRPr="00BB1B37">
        <w:rPr>
          <w:rFonts w:ascii="Times New Roman" w:eastAsia="Calibri" w:hAnsi="Times New Roman" w:cs="Times New Roman"/>
          <w:b/>
          <w:kern w:val="0"/>
          <w:sz w:val="20"/>
          <w:szCs w:val="20"/>
          <w:lang w:val="es-ES"/>
          <w14:ligatures w14:val="none"/>
        </w:rPr>
        <w:t>. Anticorrupción y Antisoborno</w:t>
      </w:r>
    </w:p>
    <w:p w14:paraId="48BBB4E1" w14:textId="77777777" w:rsidR="00BB1B37" w:rsidRPr="00BB1B37" w:rsidRDefault="00BB1B37" w:rsidP="00BB1B37">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 xml:space="preserve">A la suscripción de este contrato, EL CONTRATISTA declara y garantiza no haber ofrecido, negociado, prometido o efectuado ningún pago o entrega de cualquier beneficio o incentivo ilegal, de manera directa o indirecta, a los evaluadores del proceso de contratación o cualquier servidor de la Entidad. Asimismo, EL CONTRATISTA se obliga a mantener una conducta proba e íntegra durante la vigencia del contrato, y después de culminado el mismo en caso existan controversias pendientes de resolver, lo que supone actuar con probidad, sin cometer actos ilícitos, directa o indirectamente. Aunado a ello, EL CONTRATISTA se obliga a abstenerse de ofrecer, negociar, prometer o dar regalos, cortesías, invitaciones, donativos o cualquier beneficio o incentivo ilegal, directa o indirectamente, a funcionarios públicos, servidores públicos, locadores de servicios o proveedores de servicios del área usuaria, dependencia encargada de la contratación, actores del proceso de contratación y/o cualquier servidor de la Entidad, con la finalidad de obtener alguna ventaja indebida o beneficio ilícito, En esa línea, se obliga a adoptar las medidas técnicas, organizativas y/o de personal necesarias para asegurar que no se practiquen los actos previamente señalados. Adicionalmente, EL CONTRATISTA se compromete a denunciar oportunamente ante las autoridades competentes los actos de corrupción o de inconducta funcional de los cuales tuviera conocimiento durante la ejecución del contrato con la Entidad. Tratándose de una persona jurídica, lo anterior se extiende a sus accionistas, participacioncitas, integrantes de los órganos de administración, apoderados, representantes legales, funcionarios, asesores o cualquier persona vinculada a la persona jurídica que representa; comprometiéndose a informarles sobre los alcances de las obligaciones asumidas en virtud del presente contrato. Finalmente, el incumplimiento de las obligaciones establecidas en esta cláusula, durante la ejecución contractual, otorga a la Entidad el derecho de resolver total o parcialmente el contrato. Cuando lo anterior se produzca por parte de un proveedor adjudicatario de los catálogos electrónicos de acuerdo marco, el incumplimiento de la presente cláusula conllevará que sea excluido de los Catálogos Electrónicos de Acuerdo Marco. En ningún caso, dichas medidas impiden el inicio de las acciones civiles, penales y administrativas a que hubiera lugar. </w:t>
      </w:r>
    </w:p>
    <w:p w14:paraId="6416E624" w14:textId="318F9A81" w:rsidR="00BB1B37" w:rsidRPr="00BB1B37" w:rsidRDefault="00BB1B37" w:rsidP="00BB1B37">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lastRenderedPageBreak/>
        <w:t>1</w:t>
      </w:r>
      <w:r w:rsidR="000F15D7">
        <w:rPr>
          <w:rFonts w:ascii="Times New Roman" w:eastAsia="Calibri" w:hAnsi="Times New Roman" w:cs="Times New Roman"/>
          <w:b/>
          <w:kern w:val="0"/>
          <w:sz w:val="20"/>
          <w:szCs w:val="20"/>
          <w:lang w:val="es-ES"/>
          <w14:ligatures w14:val="none"/>
        </w:rPr>
        <w:t>2</w:t>
      </w:r>
      <w:r w:rsidRPr="00BB1B37">
        <w:rPr>
          <w:rFonts w:ascii="Times New Roman" w:eastAsia="Calibri" w:hAnsi="Times New Roman" w:cs="Times New Roman"/>
          <w:b/>
          <w:kern w:val="0"/>
          <w:sz w:val="20"/>
          <w:szCs w:val="20"/>
          <w:lang w:val="es-ES"/>
          <w14:ligatures w14:val="none"/>
        </w:rPr>
        <w:t xml:space="preserve">. Solución de Controversias Contractuales: </w:t>
      </w:r>
      <w:r w:rsidRPr="00BB1B37">
        <w:rPr>
          <w:rFonts w:ascii="Times New Roman" w:eastAsia="Calibri" w:hAnsi="Times New Roman" w:cs="Times New Roman"/>
          <w:bCs/>
          <w:kern w:val="0"/>
          <w:sz w:val="20"/>
          <w:szCs w:val="20"/>
          <w:lang w:val="es-ES"/>
          <w14:ligatures w14:val="none"/>
        </w:rPr>
        <w:t xml:space="preserve">Las controversias que surjan entre las partes durante la ejecución del contrato se resuelven mediante conciliación, cuando se haya pactado el arbitraje </w:t>
      </w:r>
    </w:p>
    <w:p w14:paraId="5D87DB14" w14:textId="77777777" w:rsidR="00BB1B37" w:rsidRPr="00BB1B37" w:rsidRDefault="00BB1B37" w:rsidP="00BB1B37">
      <w:pPr>
        <w:spacing w:line="276" w:lineRule="auto"/>
        <w:jc w:val="both"/>
        <w:rPr>
          <w:rFonts w:ascii="Times New Roman" w:eastAsia="Calibri" w:hAnsi="Times New Roman" w:cs="Times New Roman"/>
          <w:bCs/>
          <w:kern w:val="0"/>
          <w:sz w:val="20"/>
          <w:szCs w:val="20"/>
          <w:lang w:val="es-ES"/>
          <w14:ligatures w14:val="none"/>
        </w:rPr>
      </w:pPr>
    </w:p>
    <w:p w14:paraId="6F8CDC00" w14:textId="77777777" w:rsidR="002957A6" w:rsidRPr="00BB1B37" w:rsidRDefault="002957A6">
      <w:pPr>
        <w:rPr>
          <w:lang w:val="es-ES"/>
        </w:rPr>
      </w:pPr>
    </w:p>
    <w:sectPr w:rsidR="002957A6" w:rsidRPr="00BB1B37">
      <w:headerReference w:type="default" r:id="rId8"/>
      <w:footerReference w:type="default" r:id="rId9"/>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40379D" w14:textId="77777777" w:rsidR="002650A1" w:rsidRDefault="002650A1" w:rsidP="00BB1B37">
      <w:pPr>
        <w:spacing w:after="0" w:line="240" w:lineRule="auto"/>
      </w:pPr>
      <w:r>
        <w:separator/>
      </w:r>
    </w:p>
  </w:endnote>
  <w:endnote w:type="continuationSeparator" w:id="0">
    <w:p w14:paraId="549110AE" w14:textId="77777777" w:rsidR="002650A1" w:rsidRDefault="002650A1" w:rsidP="00BB1B3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361EEA" w14:textId="71F90EC8" w:rsidR="00BB1B37" w:rsidRPr="00BB1B37" w:rsidRDefault="00BB1B37" w:rsidP="00BB1B37">
    <w:pPr>
      <w:tabs>
        <w:tab w:val="center" w:pos="4419"/>
        <w:tab w:val="right" w:pos="8838"/>
      </w:tabs>
      <w:spacing w:after="0" w:line="240" w:lineRule="auto"/>
      <w:rPr>
        <w:rFonts w:ascii="Calibri" w:eastAsia="Calibri" w:hAnsi="Calibri" w:cs="Times New Roman"/>
        <w:kern w:val="0"/>
        <w:sz w:val="22"/>
        <w:szCs w:val="22"/>
        <w:lang w:val="en-US"/>
        <w14:ligatures w14:val="none"/>
      </w:rPr>
    </w:pPr>
    <w:r w:rsidRPr="00BB1B37">
      <w:rPr>
        <w:rFonts w:ascii="Calibri" w:eastAsia="Calibri" w:hAnsi="Calibri" w:cs="Times New Roman"/>
        <w:kern w:val="0"/>
        <w:sz w:val="22"/>
        <w:szCs w:val="22"/>
        <w:lang w:val="en-US"/>
        <w14:ligatures w14:val="none"/>
      </w:rPr>
      <w:t>EPG</w:t>
    </w:r>
    <w:r>
      <w:rPr>
        <w:rFonts w:ascii="Calibri" w:eastAsia="Calibri" w:hAnsi="Calibri" w:cs="Times New Roman"/>
        <w:kern w:val="0"/>
        <w:sz w:val="22"/>
        <w:szCs w:val="22"/>
        <w:lang w:val="en-US"/>
        <w14:ligatures w14:val="none"/>
      </w:rPr>
      <w:t>-esq</w:t>
    </w:r>
  </w:p>
  <w:p w14:paraId="3E4CCC80" w14:textId="77777777" w:rsidR="00BB1B37" w:rsidRPr="00BB1B37" w:rsidRDefault="00BB1B37" w:rsidP="00BB1B37">
    <w:pPr>
      <w:tabs>
        <w:tab w:val="center" w:pos="4419"/>
        <w:tab w:val="right" w:pos="8838"/>
      </w:tabs>
      <w:spacing w:after="0" w:line="240" w:lineRule="auto"/>
      <w:rPr>
        <w:rFonts w:ascii="Calibri" w:eastAsia="Calibri" w:hAnsi="Calibri" w:cs="Times New Roman"/>
        <w:kern w:val="0"/>
        <w:sz w:val="22"/>
        <w:szCs w:val="22"/>
        <w:lang w:val="en-US"/>
        <w14:ligatures w14:val="none"/>
      </w:rPr>
    </w:pPr>
    <w:r w:rsidRPr="00BB1B37">
      <w:rPr>
        <w:rFonts w:ascii="Calibri" w:eastAsia="Calibri" w:hAnsi="Calibri" w:cs="Times New Roman"/>
        <w:kern w:val="0"/>
        <w:sz w:val="22"/>
        <w:szCs w:val="22"/>
        <w:lang w:val="en-US"/>
        <w14:ligatures w14:val="none"/>
      </w:rPr>
      <w:t>SF/HRC</w:t>
    </w:r>
  </w:p>
  <w:p w14:paraId="1581FB47" w14:textId="77777777" w:rsidR="00BB1B37" w:rsidRDefault="00BB1B3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30E29E" w14:textId="77777777" w:rsidR="002650A1" w:rsidRDefault="002650A1" w:rsidP="00BB1B37">
      <w:pPr>
        <w:spacing w:after="0" w:line="240" w:lineRule="auto"/>
      </w:pPr>
      <w:r>
        <w:separator/>
      </w:r>
    </w:p>
  </w:footnote>
  <w:footnote w:type="continuationSeparator" w:id="0">
    <w:p w14:paraId="39172715" w14:textId="77777777" w:rsidR="002650A1" w:rsidRDefault="002650A1" w:rsidP="00BB1B3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4DB9C5" w14:textId="77777777" w:rsidR="00BB1B37" w:rsidRDefault="00BB1B37" w:rsidP="00BB1B37">
    <w:pPr>
      <w:pStyle w:val="Encabezado"/>
      <w:jc w:val="center"/>
      <w:rPr>
        <w:rFonts w:ascii="Arial" w:hAnsi="Arial"/>
        <w:b/>
        <w:sz w:val="28"/>
        <w:lang w:val="es-MX"/>
      </w:rPr>
    </w:pPr>
    <w:r>
      <w:rPr>
        <w:rFonts w:ascii="Arial" w:hAnsi="Arial"/>
        <w:b/>
        <w:noProof/>
        <w:sz w:val="28"/>
      </w:rPr>
      <mc:AlternateContent>
        <mc:Choice Requires="wps">
          <w:drawing>
            <wp:anchor distT="0" distB="0" distL="114300" distR="114300" simplePos="0" relativeHeight="251663360" behindDoc="0" locked="0" layoutInCell="1" allowOverlap="1" wp14:anchorId="719732E9" wp14:editId="50890D6E">
              <wp:simplePos x="0" y="0"/>
              <wp:positionH relativeFrom="column">
                <wp:posOffset>3272790</wp:posOffset>
              </wp:positionH>
              <wp:positionV relativeFrom="paragraph">
                <wp:posOffset>-307340</wp:posOffset>
              </wp:positionV>
              <wp:extent cx="1847850" cy="600075"/>
              <wp:effectExtent l="0" t="0" r="0" b="0"/>
              <wp:wrapNone/>
              <wp:docPr id="1585"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47850" cy="600075"/>
                      </a:xfrm>
                      <a:prstGeom prst="rect">
                        <a:avLst/>
                      </a:prstGeom>
                      <a:noFill/>
                      <a:ln w="9525">
                        <a:noFill/>
                        <a:miter lim="800000"/>
                      </a:ln>
                    </wps:spPr>
                    <wps:txbx>
                      <w:txbxContent>
                        <w:p w14:paraId="234323A8" w14:textId="77777777" w:rsidR="00BB1B37" w:rsidRPr="003811A8" w:rsidRDefault="00BB1B37" w:rsidP="00BB1B37">
                          <w:pPr>
                            <w:jc w:val="center"/>
                            <w:rPr>
                              <w:rFonts w:ascii="Times New Roman" w:hAnsi="Times New Roman" w:cs="Times New Roman"/>
                              <w:b/>
                              <w:color w:val="808080"/>
                              <w:sz w:val="20"/>
                              <w:szCs w:val="20"/>
                              <w:lang w:val="es-ES"/>
                            </w:rPr>
                          </w:pPr>
                          <w:r w:rsidRPr="003811A8">
                            <w:rPr>
                              <w:rFonts w:ascii="Times New Roman" w:hAnsi="Times New Roman" w:cs="Times New Roman"/>
                              <w:b/>
                              <w:color w:val="808080"/>
                              <w:sz w:val="20"/>
                              <w:szCs w:val="20"/>
                              <w:lang w:val="es-ES"/>
                            </w:rPr>
                            <w:t>Servicio de Farmacia</w:t>
                          </w:r>
                        </w:p>
                        <w:p w14:paraId="61BBBC12" w14:textId="77777777" w:rsidR="00BB1B37" w:rsidRPr="003811A8" w:rsidRDefault="00BB1B37" w:rsidP="00BB1B37">
                          <w:pPr>
                            <w:jc w:val="center"/>
                            <w:rPr>
                              <w:rFonts w:ascii="Times New Roman" w:hAnsi="Times New Roman" w:cs="Times New Roman"/>
                              <w:b/>
                              <w:color w:val="808080"/>
                              <w:sz w:val="16"/>
                              <w:szCs w:val="20"/>
                              <w:lang w:val="es-ES"/>
                            </w:rPr>
                          </w:pPr>
                          <w:r w:rsidRPr="003811A8">
                            <w:rPr>
                              <w:rFonts w:ascii="Times New Roman" w:hAnsi="Times New Roman" w:cs="Times New Roman"/>
                              <w:b/>
                              <w:color w:val="808080"/>
                              <w:sz w:val="16"/>
                              <w:szCs w:val="20"/>
                              <w:lang w:val="es-ES"/>
                            </w:rPr>
                            <w:t xml:space="preserve">Área de </w:t>
                          </w:r>
                          <w:r>
                            <w:rPr>
                              <w:rFonts w:ascii="Times New Roman" w:hAnsi="Times New Roman" w:cs="Times New Roman"/>
                              <w:b/>
                              <w:color w:val="808080"/>
                              <w:sz w:val="16"/>
                              <w:szCs w:val="20"/>
                              <w:lang w:val="es-ES"/>
                            </w:rPr>
                            <w:t>Gestión de Programación de PF y DM</w:t>
                          </w:r>
                        </w:p>
                      </w:txbxContent>
                    </wps:txbx>
                    <wps:bodyPr rot="0" vert="horz" wrap="square" lIns="91440" tIns="45720" rIns="91440" bIns="45720" anchor="t" anchorCtr="0">
                      <a:noAutofit/>
                    </wps:bodyPr>
                  </wps:wsp>
                </a:graphicData>
              </a:graphic>
              <wp14:sizeRelH relativeFrom="page">
                <wp14:pctWidth>0</wp14:pctWidth>
              </wp14:sizeRelH>
              <wp14:sizeRelV relativeFrom="margin">
                <wp14:pctHeight>0</wp14:pctHeight>
              </wp14:sizeRelV>
            </wp:anchor>
          </w:drawing>
        </mc:Choice>
        <mc:Fallback>
          <w:pict>
            <v:shapetype w14:anchorId="719732E9" id="_x0000_t202" coordsize="21600,21600" o:spt="202" path="m,l,21600r21600,l21600,xe">
              <v:stroke joinstyle="miter"/>
              <v:path gradientshapeok="t" o:connecttype="rect"/>
            </v:shapetype>
            <v:shape id="Cuadro de texto 2" o:spid="_x0000_s1026" type="#_x0000_t202" style="position:absolute;left:0;text-align:left;margin-left:257.7pt;margin-top:-24.2pt;width:145.5pt;height:47.2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" filled="f" stroked="f">
              <v:textbox>
                <w:txbxContent>
                  <w:p w14:paraId="234323A8" w14:textId="77777777" w:rsidR="00BB1B37" w:rsidRPr="003811A8" w:rsidRDefault="00BB1B37" w:rsidP="00BB1B37">
                    <w:pPr>
                      <w:jc w:val="center"/>
                      <w:rPr>
                        <w:rFonts w:ascii="Times New Roman" w:hAnsi="Times New Roman" w:cs="Times New Roman"/>
                        <w:b/>
                        <w:color w:val="808080"/>
                        <w:sz w:val="20"/>
                        <w:szCs w:val="20"/>
                        <w:lang w:val="es-ES"/>
                      </w:rPr>
                    </w:pPr>
                    <w:r w:rsidRPr="003811A8">
                      <w:rPr>
                        <w:rFonts w:ascii="Times New Roman" w:hAnsi="Times New Roman" w:cs="Times New Roman"/>
                        <w:b/>
                        <w:color w:val="808080"/>
                        <w:sz w:val="20"/>
                        <w:szCs w:val="20"/>
                        <w:lang w:val="es-ES"/>
                      </w:rPr>
                      <w:t>Servicio de Farmacia</w:t>
                    </w:r>
                  </w:p>
                  <w:p w14:paraId="61BBBC12" w14:textId="77777777" w:rsidR="00BB1B37" w:rsidRPr="003811A8" w:rsidRDefault="00BB1B37" w:rsidP="00BB1B37">
                    <w:pPr>
                      <w:jc w:val="center"/>
                      <w:rPr>
                        <w:rFonts w:ascii="Times New Roman" w:hAnsi="Times New Roman" w:cs="Times New Roman"/>
                        <w:b/>
                        <w:color w:val="808080"/>
                        <w:sz w:val="16"/>
                        <w:szCs w:val="20"/>
                        <w:lang w:val="es-ES"/>
                      </w:rPr>
                    </w:pPr>
                    <w:r w:rsidRPr="003811A8">
                      <w:rPr>
                        <w:rFonts w:ascii="Times New Roman" w:hAnsi="Times New Roman" w:cs="Times New Roman"/>
                        <w:b/>
                        <w:color w:val="808080"/>
                        <w:sz w:val="16"/>
                        <w:szCs w:val="20"/>
                        <w:lang w:val="es-ES"/>
                      </w:rPr>
                      <w:t xml:space="preserve">Área de </w:t>
                    </w:r>
                    <w:r>
                      <w:rPr>
                        <w:rFonts w:ascii="Times New Roman" w:hAnsi="Times New Roman" w:cs="Times New Roman"/>
                        <w:b/>
                        <w:color w:val="808080"/>
                        <w:sz w:val="16"/>
                        <w:szCs w:val="20"/>
                        <w:lang w:val="es-ES"/>
                      </w:rPr>
                      <w:t>Gestión de Programación de PF y DM</w:t>
                    </w:r>
                  </w:p>
                </w:txbxContent>
              </v:textbox>
            </v:shape>
          </w:pict>
        </mc:Fallback>
      </mc:AlternateContent>
    </w:r>
    <w:r>
      <w:rPr>
        <w:rFonts w:ascii="Arial" w:hAnsi="Arial"/>
        <w:b/>
        <w:noProof/>
        <w:sz w:val="28"/>
      </w:rPr>
      <mc:AlternateContent>
        <mc:Choice Requires="wps">
          <w:drawing>
            <wp:anchor distT="0" distB="0" distL="114300" distR="114300" simplePos="0" relativeHeight="251662336" behindDoc="0" locked="0" layoutInCell="1" allowOverlap="1" wp14:anchorId="34D5074F" wp14:editId="6B862D13">
              <wp:simplePos x="0" y="0"/>
              <wp:positionH relativeFrom="column">
                <wp:posOffset>1510030</wp:posOffset>
              </wp:positionH>
              <wp:positionV relativeFrom="paragraph">
                <wp:posOffset>-219075</wp:posOffset>
              </wp:positionV>
              <wp:extent cx="1655445" cy="349885"/>
              <wp:effectExtent l="0" t="0" r="0" b="0"/>
              <wp:wrapNone/>
              <wp:docPr id="252"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55445" cy="349885"/>
                      </a:xfrm>
                      <a:prstGeom prst="rect">
                        <a:avLst/>
                      </a:prstGeom>
                      <a:noFill/>
                      <a:ln>
                        <a:noFill/>
                      </a:ln>
                    </wps:spPr>
                    <wps:txbx>
                      <w:txbxContent>
                        <w:p w14:paraId="5B315696" w14:textId="77777777" w:rsidR="00BB1B37" w:rsidRPr="006063D2" w:rsidRDefault="00BB1B37" w:rsidP="00BB1B37">
                          <w:pPr>
                            <w:rPr>
                              <w:rFonts w:ascii="Arial" w:hAnsi="Arial" w:cs="Arial"/>
                              <w:b/>
                              <w:color w:val="FFFFFF"/>
                              <w:sz w:val="18"/>
                            </w:rPr>
                          </w:pPr>
                          <w:r w:rsidRPr="006063D2">
                            <w:rPr>
                              <w:rFonts w:ascii="Arial" w:hAnsi="Arial" w:cs="Arial"/>
                              <w:b/>
                              <w:color w:val="FFFFFF"/>
                              <w:sz w:val="18"/>
                            </w:rPr>
                            <w:t>HOSPITAL REGIONAL DEL CUSCO</w:t>
                          </w:r>
                        </w:p>
                      </w:txbxContent>
                    </wps:txbx>
                    <wps:bodyPr rot="0" vert="horz" wrap="square" lIns="91440" tIns="45720" rIns="91440" bIns="45720" anchor="t" anchorCtr="0" upright="1">
                      <a:noAutofit/>
                    </wps:bodyPr>
                  </wps:wsp>
                </a:graphicData>
              </a:graphic>
            </wp:anchor>
          </w:drawing>
        </mc:Choice>
        <mc:Fallback>
          <w:pict>
            <v:shape w14:anchorId="34D5074F" id="Text Box 16" o:spid="_x0000_s1027" type="#_x0000_t202" style="position:absolute;left:0;text-align:left;margin-left:118.9pt;margin-top:-17.25pt;width:130.35pt;height:27.55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" filled="f" stroked="f">
              <v:textbox>
                <w:txbxContent>
                  <w:p w14:paraId="5B315696" w14:textId="77777777" w:rsidR="00BB1B37" w:rsidRPr="006063D2" w:rsidRDefault="00BB1B37" w:rsidP="00BB1B37">
                    <w:pPr>
                      <w:rPr>
                        <w:rFonts w:ascii="Arial" w:hAnsi="Arial" w:cs="Arial"/>
                        <w:b/>
                        <w:color w:val="FFFFFF"/>
                        <w:sz w:val="18"/>
                      </w:rPr>
                    </w:pPr>
                    <w:r w:rsidRPr="006063D2">
                      <w:rPr>
                        <w:rFonts w:ascii="Arial" w:hAnsi="Arial" w:cs="Arial"/>
                        <w:b/>
                        <w:color w:val="FFFFFF"/>
                        <w:sz w:val="18"/>
                      </w:rPr>
                      <w:t>HOSPITAL REGIONAL DEL CUSCO</w:t>
                    </w:r>
                  </w:p>
                </w:txbxContent>
              </v:textbox>
            </v:shape>
          </w:pict>
        </mc:Fallback>
      </mc:AlternateContent>
    </w:r>
    <w:r>
      <w:rPr>
        <w:rFonts w:ascii="Arial" w:hAnsi="Arial"/>
        <w:b/>
        <w:noProof/>
        <w:sz w:val="28"/>
      </w:rPr>
      <w:drawing>
        <wp:anchor distT="0" distB="0" distL="114300" distR="114300" simplePos="0" relativeHeight="251660288" behindDoc="1" locked="0" layoutInCell="1" allowOverlap="1" wp14:anchorId="157C27C4" wp14:editId="570E5967">
          <wp:simplePos x="0" y="0"/>
          <wp:positionH relativeFrom="column">
            <wp:posOffset>-251460</wp:posOffset>
          </wp:positionH>
          <wp:positionV relativeFrom="paragraph">
            <wp:posOffset>-228600</wp:posOffset>
          </wp:positionV>
          <wp:extent cx="3486150" cy="381000"/>
          <wp:effectExtent l="19050" t="0" r="0" b="0"/>
          <wp:wrapNone/>
          <wp:docPr id="48082194" name="Imagen 5" descr="FORMATO DOCUMENTO PLANTILL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2" name="Imagen 5" descr="FORMATO DOCUMENTO PLANTILLA"/>
                  <pic:cNvPicPr>
                    <a:picLocks noChangeAspect="1" noChangeArrowheads="1"/>
                  </pic:cNvPicPr>
                </pic:nvPicPr>
                <pic:blipFill>
                  <a:blip r:embed="rId1">
                    <a:lum contrast="20000"/>
                  </a:blip>
                  <a:srcRect/>
                  <a:stretch>
                    <a:fillRect/>
                  </a:stretch>
                </pic:blipFill>
                <pic:spPr>
                  <a:xfrm>
                    <a:off x="0" y="0"/>
                    <a:ext cx="3486150" cy="381000"/>
                  </a:xfrm>
                  <a:prstGeom prst="rect">
                    <a:avLst/>
                  </a:prstGeom>
                  <a:solidFill>
                    <a:schemeClr val="bg1">
                      <a:lumMod val="50000"/>
                    </a:schemeClr>
                  </a:solidFill>
                  <a:ln w="9525">
                    <a:noFill/>
                    <a:miter lim="800000"/>
                    <a:headEnd/>
                    <a:tailEnd/>
                  </a:ln>
                </pic:spPr>
              </pic:pic>
            </a:graphicData>
          </a:graphic>
        </wp:anchor>
      </w:drawing>
    </w:r>
    <w:r>
      <w:rPr>
        <w:noProof/>
      </w:rPr>
      <w:drawing>
        <wp:anchor distT="0" distB="0" distL="114300" distR="114300" simplePos="0" relativeHeight="251661312" behindDoc="0" locked="0" layoutInCell="1" allowOverlap="1" wp14:anchorId="5C889E08" wp14:editId="00237C0A">
          <wp:simplePos x="0" y="0"/>
          <wp:positionH relativeFrom="column">
            <wp:posOffset>5200015</wp:posOffset>
          </wp:positionH>
          <wp:positionV relativeFrom="paragraph">
            <wp:posOffset>-305435</wp:posOffset>
          </wp:positionV>
          <wp:extent cx="1109980" cy="381000"/>
          <wp:effectExtent l="0" t="0" r="0" b="0"/>
          <wp:wrapNone/>
          <wp:docPr id="8920655" name="Imagen 5" descr="GAR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1" name="Imagen 5" descr="GARF"/>
                  <pic:cNvPicPr>
                    <a:picLocks noChangeAspect="1" noChangeArrowheads="1"/>
                  </pic:cNvPicPr>
                </pic:nvPicPr>
                <pic:blipFill>
                  <a:blip r:embed="rId2">
                    <a:clrChange>
                      <a:clrFrom>
                        <a:srgbClr val="FFFFFF"/>
                      </a:clrFrom>
                      <a:clrTo>
                        <a:srgbClr val="FFFFFF">
                          <a:alpha val="0"/>
                        </a:srgbClr>
                      </a:clrTo>
                    </a:clrChange>
                  </a:blip>
                  <a:srcRect/>
                  <a:stretch>
                    <a:fillRect/>
                  </a:stretch>
                </pic:blipFill>
                <pic:spPr>
                  <a:xfrm>
                    <a:off x="0" y="0"/>
                    <a:ext cx="1109980" cy="381000"/>
                  </a:xfrm>
                  <a:prstGeom prst="rect">
                    <a:avLst/>
                  </a:prstGeom>
                  <a:noFill/>
                  <a:ln w="9525">
                    <a:noFill/>
                    <a:miter lim="800000"/>
                    <a:headEnd/>
                    <a:tailEnd/>
                  </a:ln>
                </pic:spPr>
              </pic:pic>
            </a:graphicData>
          </a:graphic>
        </wp:anchor>
      </w:drawing>
    </w:r>
  </w:p>
  <w:p w14:paraId="08DCA498" w14:textId="77777777" w:rsidR="00BB1B37" w:rsidRDefault="00BB1B37" w:rsidP="00BB1B37">
    <w:pPr>
      <w:pStyle w:val="Encabezado"/>
      <w:tabs>
        <w:tab w:val="left" w:pos="795"/>
        <w:tab w:val="left" w:pos="7350"/>
      </w:tabs>
      <w:rPr>
        <w:rFonts w:ascii="Arial" w:hAnsi="Arial"/>
        <w:b/>
        <w:sz w:val="28"/>
        <w:lang w:val="es-MX"/>
      </w:rPr>
    </w:pPr>
    <w:r>
      <w:rPr>
        <w:noProof/>
      </w:rPr>
      <mc:AlternateContent>
        <mc:Choice Requires="wps">
          <w:drawing>
            <wp:anchor distT="0" distB="0" distL="114300" distR="114300" simplePos="0" relativeHeight="251659264" behindDoc="0" locked="0" layoutInCell="0" allowOverlap="1" wp14:anchorId="6C5A4B05" wp14:editId="5EFCF248">
              <wp:simplePos x="0" y="0"/>
              <wp:positionH relativeFrom="column">
                <wp:posOffset>-55245</wp:posOffset>
              </wp:positionH>
              <wp:positionV relativeFrom="paragraph">
                <wp:posOffset>144145</wp:posOffset>
              </wp:positionV>
              <wp:extent cx="5947410" cy="0"/>
              <wp:effectExtent l="30480" t="30480" r="32385" b="36195"/>
              <wp:wrapNone/>
              <wp:docPr id="250" name="Line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7410" cy="0"/>
                      </a:xfrm>
                      <a:prstGeom prst="line">
                        <a:avLst/>
                      </a:prstGeom>
                      <a:noFill/>
                      <a:ln w="57150" cmpd="thinThick">
                        <a:solidFill>
                          <a:srgbClr val="000000"/>
                        </a:solidFill>
                        <a:round/>
                      </a:ln>
                    </wps:spPr>
                    <wps:bodyPr/>
                  </wps:wsp>
                </a:graphicData>
              </a:graphic>
            </wp:anchor>
          </w:drawing>
        </mc:Choice>
        <mc:Fallback>
          <w:pict>
            <v:line w14:anchorId="4A1F671A" id="Line 1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4.35pt,11.35pt" to="463.95pt,1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" o:allowincell="f" strokeweight="4.5pt">
              <v:stroke linestyle="thinThick"/>
            </v:line>
          </w:pict>
        </mc:Fallback>
      </mc:AlternateContent>
    </w:r>
    <w:r>
      <w:rPr>
        <w:rFonts w:ascii="Arial" w:hAnsi="Arial"/>
        <w:b/>
        <w:sz w:val="28"/>
        <w:lang w:val="es-MX"/>
      </w:rPr>
      <w:tab/>
    </w:r>
    <w:r>
      <w:rPr>
        <w:rFonts w:ascii="Arial" w:hAnsi="Arial"/>
        <w:b/>
        <w:sz w:val="28"/>
        <w:lang w:val="es-MX"/>
      </w:rPr>
      <w:tab/>
    </w:r>
    <w:r>
      <w:rPr>
        <w:rFonts w:ascii="Arial" w:hAnsi="Arial"/>
        <w:b/>
        <w:sz w:val="28"/>
        <w:lang w:val="es-MX"/>
      </w:rPr>
      <w:tab/>
    </w:r>
  </w:p>
  <w:p w14:paraId="260A4B81" w14:textId="32594942" w:rsidR="00BB1B37" w:rsidRPr="00BB1B37" w:rsidRDefault="00BB1B37">
    <w:pPr>
      <w:pStyle w:val="Encabezado"/>
      <w:rPr>
        <w:lang w:val="es-ES_tradnl"/>
      </w:rPr>
    </w:pPr>
    <w:r>
      <w:rPr>
        <w:rFonts w:ascii="Arial" w:hAnsi="Arial"/>
        <w:b/>
        <w:sz w:val="28"/>
        <w:lang w:val="es-MX"/>
      </w:rPr>
      <w:t xml:space="preserve">                 </w:t>
    </w:r>
    <w:r>
      <w:rPr>
        <w:rFonts w:ascii="Times New Roman" w:eastAsia="Times New Roman" w:hAnsi="Times New Roman" w:cs="Times New Roman"/>
        <w:b/>
        <w:color w:val="040C28"/>
        <w:sz w:val="20"/>
        <w:szCs w:val="30"/>
        <w:lang w:val="es-ES_tradnl" w:eastAsia="es-ES"/>
      </w:rPr>
      <w:t>“AÑO DE LA ESPERANZA Y FORTALECIMIENTO DE LA DEMOCRACIA”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B34915"/>
    <w:multiLevelType w:val="hybridMultilevel"/>
    <w:tmpl w:val="C6B4A408"/>
    <w:lvl w:ilvl="0" w:tplc="280A000B">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 w15:restartNumberingAfterBreak="0">
    <w:nsid w:val="1E4B67EA"/>
    <w:multiLevelType w:val="hybridMultilevel"/>
    <w:tmpl w:val="9A74E41E"/>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 w15:restartNumberingAfterBreak="0">
    <w:nsid w:val="26C92689"/>
    <w:multiLevelType w:val="hybridMultilevel"/>
    <w:tmpl w:val="2E4C610A"/>
    <w:lvl w:ilvl="0" w:tplc="280A000B">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 w15:restartNumberingAfterBreak="0">
    <w:nsid w:val="2782595D"/>
    <w:multiLevelType w:val="hybridMultilevel"/>
    <w:tmpl w:val="23C8F8D4"/>
    <w:lvl w:ilvl="0" w:tplc="280A000B">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 w15:restartNumberingAfterBreak="0">
    <w:nsid w:val="3D61639E"/>
    <w:multiLevelType w:val="hybridMultilevel"/>
    <w:tmpl w:val="F78C7A9C"/>
    <w:lvl w:ilvl="0" w:tplc="280A000B">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5" w15:restartNumberingAfterBreak="0">
    <w:nsid w:val="55AB4287"/>
    <w:multiLevelType w:val="hybridMultilevel"/>
    <w:tmpl w:val="11CAD924"/>
    <w:lvl w:ilvl="0" w:tplc="280A000B">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6" w15:restartNumberingAfterBreak="0">
    <w:nsid w:val="60DD5A6D"/>
    <w:multiLevelType w:val="hybridMultilevel"/>
    <w:tmpl w:val="9F96EC2A"/>
    <w:lvl w:ilvl="0" w:tplc="280A000B">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7" w15:restartNumberingAfterBreak="0">
    <w:nsid w:val="7A527076"/>
    <w:multiLevelType w:val="hybridMultilevel"/>
    <w:tmpl w:val="7A8010E2"/>
    <w:lvl w:ilvl="0" w:tplc="280A000B">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num w:numId="1" w16cid:durableId="1415201135">
    <w:abstractNumId w:val="0"/>
  </w:num>
  <w:num w:numId="2" w16cid:durableId="1626424609">
    <w:abstractNumId w:val="4"/>
  </w:num>
  <w:num w:numId="3" w16cid:durableId="1677070939">
    <w:abstractNumId w:val="6"/>
  </w:num>
  <w:num w:numId="4" w16cid:durableId="2138136059">
    <w:abstractNumId w:val="2"/>
  </w:num>
  <w:num w:numId="5" w16cid:durableId="608240903">
    <w:abstractNumId w:val="7"/>
  </w:num>
  <w:num w:numId="6" w16cid:durableId="1107844436">
    <w:abstractNumId w:val="1"/>
  </w:num>
  <w:num w:numId="7" w16cid:durableId="1552812517">
    <w:abstractNumId w:val="5"/>
  </w:num>
  <w:num w:numId="8" w16cid:durableId="1431377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1B37"/>
    <w:rsid w:val="00076FB5"/>
    <w:rsid w:val="00083345"/>
    <w:rsid w:val="000D5A74"/>
    <w:rsid w:val="000E5C53"/>
    <w:rsid w:val="000F15D7"/>
    <w:rsid w:val="001360E3"/>
    <w:rsid w:val="00160F38"/>
    <w:rsid w:val="00166DE3"/>
    <w:rsid w:val="001E4D86"/>
    <w:rsid w:val="0025440C"/>
    <w:rsid w:val="002650A1"/>
    <w:rsid w:val="002957A6"/>
    <w:rsid w:val="002E5ABB"/>
    <w:rsid w:val="00321433"/>
    <w:rsid w:val="0036355F"/>
    <w:rsid w:val="00370ADA"/>
    <w:rsid w:val="0038027F"/>
    <w:rsid w:val="00397125"/>
    <w:rsid w:val="003A6DB1"/>
    <w:rsid w:val="003C20BE"/>
    <w:rsid w:val="003E0D41"/>
    <w:rsid w:val="00414FB2"/>
    <w:rsid w:val="00420987"/>
    <w:rsid w:val="00422740"/>
    <w:rsid w:val="004671BE"/>
    <w:rsid w:val="004876A4"/>
    <w:rsid w:val="004B194F"/>
    <w:rsid w:val="004B3C7D"/>
    <w:rsid w:val="004F340D"/>
    <w:rsid w:val="00502CB8"/>
    <w:rsid w:val="005219B3"/>
    <w:rsid w:val="0053613E"/>
    <w:rsid w:val="00557F6B"/>
    <w:rsid w:val="00575BB0"/>
    <w:rsid w:val="0058035D"/>
    <w:rsid w:val="00584102"/>
    <w:rsid w:val="00587F79"/>
    <w:rsid w:val="005B1C82"/>
    <w:rsid w:val="005D0BBC"/>
    <w:rsid w:val="005F23C4"/>
    <w:rsid w:val="00624ACA"/>
    <w:rsid w:val="00630CE9"/>
    <w:rsid w:val="006317E7"/>
    <w:rsid w:val="00662DAC"/>
    <w:rsid w:val="006958DB"/>
    <w:rsid w:val="006B6EC1"/>
    <w:rsid w:val="006E346E"/>
    <w:rsid w:val="00713A88"/>
    <w:rsid w:val="007367AE"/>
    <w:rsid w:val="00781B30"/>
    <w:rsid w:val="00787161"/>
    <w:rsid w:val="00797335"/>
    <w:rsid w:val="008400D2"/>
    <w:rsid w:val="00873231"/>
    <w:rsid w:val="008B1A9B"/>
    <w:rsid w:val="008B7AC6"/>
    <w:rsid w:val="008C598E"/>
    <w:rsid w:val="008D16E9"/>
    <w:rsid w:val="00934250"/>
    <w:rsid w:val="00974493"/>
    <w:rsid w:val="00977197"/>
    <w:rsid w:val="0098570D"/>
    <w:rsid w:val="00987EFD"/>
    <w:rsid w:val="009C7C6D"/>
    <w:rsid w:val="009F408E"/>
    <w:rsid w:val="00A54AA7"/>
    <w:rsid w:val="00A815CD"/>
    <w:rsid w:val="00A97C53"/>
    <w:rsid w:val="00B079E6"/>
    <w:rsid w:val="00B10112"/>
    <w:rsid w:val="00B16072"/>
    <w:rsid w:val="00B565EA"/>
    <w:rsid w:val="00BB1B37"/>
    <w:rsid w:val="00BB5AE7"/>
    <w:rsid w:val="00BE109D"/>
    <w:rsid w:val="00BF22B5"/>
    <w:rsid w:val="00C01AD3"/>
    <w:rsid w:val="00C41DF4"/>
    <w:rsid w:val="00C5034A"/>
    <w:rsid w:val="00C759AD"/>
    <w:rsid w:val="00CE7CE6"/>
    <w:rsid w:val="00DA5B42"/>
    <w:rsid w:val="00DD0324"/>
    <w:rsid w:val="00DD3EDE"/>
    <w:rsid w:val="00DF079C"/>
    <w:rsid w:val="00DF0A50"/>
    <w:rsid w:val="00E07E21"/>
    <w:rsid w:val="00E42CB6"/>
    <w:rsid w:val="00E74057"/>
    <w:rsid w:val="00E76DFB"/>
    <w:rsid w:val="00EB72BF"/>
    <w:rsid w:val="00EF3A3F"/>
    <w:rsid w:val="00EF7847"/>
    <w:rsid w:val="00F32B66"/>
    <w:rsid w:val="00F46973"/>
    <w:rsid w:val="00F9261D"/>
    <w:rsid w:val="00FA009C"/>
    <w:rsid w:val="00FB0CB4"/>
    <w:rsid w:val="00FC51FE"/>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8FC1E0"/>
  <w15:chartTrackingRefBased/>
  <w15:docId w15:val="{79604CE0-3925-4490-9384-8146FE10E8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PE"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BB1B3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BB1B3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BB1B37"/>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BB1B37"/>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BB1B37"/>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BB1B37"/>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BB1B37"/>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BB1B37"/>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BB1B37"/>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BB1B37"/>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BB1B37"/>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BB1B37"/>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BB1B37"/>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BB1B37"/>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BB1B37"/>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BB1B37"/>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BB1B37"/>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BB1B37"/>
    <w:rPr>
      <w:rFonts w:eastAsiaTheme="majorEastAsia" w:cstheme="majorBidi"/>
      <w:color w:val="272727" w:themeColor="text1" w:themeTint="D8"/>
    </w:rPr>
  </w:style>
  <w:style w:type="paragraph" w:styleId="Ttulo">
    <w:name w:val="Title"/>
    <w:basedOn w:val="Normal"/>
    <w:next w:val="Normal"/>
    <w:link w:val="TtuloCar"/>
    <w:uiPriority w:val="10"/>
    <w:qFormat/>
    <w:rsid w:val="00BB1B3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BB1B37"/>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BB1B37"/>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BB1B37"/>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BB1B37"/>
    <w:pPr>
      <w:spacing w:before="160"/>
      <w:jc w:val="center"/>
    </w:pPr>
    <w:rPr>
      <w:i/>
      <w:iCs/>
      <w:color w:val="404040" w:themeColor="text1" w:themeTint="BF"/>
    </w:rPr>
  </w:style>
  <w:style w:type="character" w:customStyle="1" w:styleId="CitaCar">
    <w:name w:val="Cita Car"/>
    <w:basedOn w:val="Fuentedeprrafopredeter"/>
    <w:link w:val="Cita"/>
    <w:uiPriority w:val="29"/>
    <w:rsid w:val="00BB1B37"/>
    <w:rPr>
      <w:i/>
      <w:iCs/>
      <w:color w:val="404040" w:themeColor="text1" w:themeTint="BF"/>
    </w:rPr>
  </w:style>
  <w:style w:type="paragraph" w:styleId="Prrafodelista">
    <w:name w:val="List Paragraph"/>
    <w:basedOn w:val="Normal"/>
    <w:uiPriority w:val="34"/>
    <w:qFormat/>
    <w:rsid w:val="00BB1B37"/>
    <w:pPr>
      <w:ind w:left="720"/>
      <w:contextualSpacing/>
    </w:pPr>
  </w:style>
  <w:style w:type="character" w:styleId="nfasisintenso">
    <w:name w:val="Intense Emphasis"/>
    <w:basedOn w:val="Fuentedeprrafopredeter"/>
    <w:uiPriority w:val="21"/>
    <w:qFormat/>
    <w:rsid w:val="00BB1B37"/>
    <w:rPr>
      <w:i/>
      <w:iCs/>
      <w:color w:val="0F4761" w:themeColor="accent1" w:themeShade="BF"/>
    </w:rPr>
  </w:style>
  <w:style w:type="paragraph" w:styleId="Citadestacada">
    <w:name w:val="Intense Quote"/>
    <w:basedOn w:val="Normal"/>
    <w:next w:val="Normal"/>
    <w:link w:val="CitadestacadaCar"/>
    <w:uiPriority w:val="30"/>
    <w:qFormat/>
    <w:rsid w:val="00BB1B3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BB1B37"/>
    <w:rPr>
      <w:i/>
      <w:iCs/>
      <w:color w:val="0F4761" w:themeColor="accent1" w:themeShade="BF"/>
    </w:rPr>
  </w:style>
  <w:style w:type="character" w:styleId="Referenciaintensa">
    <w:name w:val="Intense Reference"/>
    <w:basedOn w:val="Fuentedeprrafopredeter"/>
    <w:uiPriority w:val="32"/>
    <w:qFormat/>
    <w:rsid w:val="00BB1B37"/>
    <w:rPr>
      <w:b/>
      <w:bCs/>
      <w:smallCaps/>
      <w:color w:val="0F4761" w:themeColor="accent1" w:themeShade="BF"/>
      <w:spacing w:val="5"/>
    </w:rPr>
  </w:style>
  <w:style w:type="table" w:customStyle="1" w:styleId="TableGrid">
    <w:name w:val="TableGrid"/>
    <w:rsid w:val="00BB1B37"/>
    <w:pPr>
      <w:spacing w:after="0" w:line="240" w:lineRule="auto"/>
    </w:pPr>
    <w:rPr>
      <w:rFonts w:eastAsia="Times New Roman"/>
      <w:lang w:eastAsia="es-PE"/>
    </w:rPr>
    <w:tblPr>
      <w:tblCellMar>
        <w:top w:w="0" w:type="dxa"/>
        <w:left w:w="0" w:type="dxa"/>
        <w:bottom w:w="0" w:type="dxa"/>
        <w:right w:w="0" w:type="dxa"/>
      </w:tblCellMar>
    </w:tblPr>
  </w:style>
  <w:style w:type="paragraph" w:styleId="Encabezado">
    <w:name w:val="header"/>
    <w:basedOn w:val="Normal"/>
    <w:link w:val="EncabezadoCar"/>
    <w:uiPriority w:val="99"/>
    <w:unhideWhenUsed/>
    <w:rsid w:val="00BB1B37"/>
    <w:pPr>
      <w:tabs>
        <w:tab w:val="center" w:pos="4252"/>
        <w:tab w:val="right" w:pos="8504"/>
      </w:tabs>
      <w:spacing w:after="0" w:line="240" w:lineRule="auto"/>
    </w:pPr>
  </w:style>
  <w:style w:type="character" w:customStyle="1" w:styleId="EncabezadoCar">
    <w:name w:val="Encabezado Car"/>
    <w:basedOn w:val="Fuentedeprrafopredeter"/>
    <w:link w:val="Encabezado"/>
    <w:uiPriority w:val="99"/>
    <w:qFormat/>
    <w:rsid w:val="00BB1B37"/>
  </w:style>
  <w:style w:type="paragraph" w:styleId="Piedepgina">
    <w:name w:val="footer"/>
    <w:basedOn w:val="Normal"/>
    <w:link w:val="PiedepginaCar"/>
    <w:uiPriority w:val="99"/>
    <w:unhideWhenUsed/>
    <w:rsid w:val="00BB1B37"/>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BB1B3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e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0</TotalTime>
  <Pages>5</Pages>
  <Words>2008</Words>
  <Characters>11049</Characters>
  <Application>Microsoft Office Word</Application>
  <DocSecurity>0</DocSecurity>
  <Lines>92</Lines>
  <Paragraphs>26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13031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Hospital Regional Cusco</dc:creator>
  <cp:keywords/>
  <dc:description/>
  <cp:lastModifiedBy>Hospital Regional Cusco</cp:lastModifiedBy>
  <cp:revision>3</cp:revision>
  <cp:lastPrinted>2026-06-12T14:48:00Z</cp:lastPrinted>
  <dcterms:created xsi:type="dcterms:W3CDTF">2026-07-20T14:26:00Z</dcterms:created>
  <dcterms:modified xsi:type="dcterms:W3CDTF">2026-07-24T16:44:00Z</dcterms:modified>
</cp:coreProperties>
</file>