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A40563" w14:textId="11CA910D" w:rsidR="000C0156" w:rsidRPr="0074680B" w:rsidRDefault="000C0156" w:rsidP="00B54393">
      <w:pPr>
        <w:ind w:left="792"/>
        <w:contextualSpacing/>
        <w:jc w:val="both"/>
        <w:rPr>
          <w:rFonts w:ascii="Arial" w:hAnsi="Arial" w:cs="Arial"/>
          <w:b/>
          <w:bCs/>
          <w:iCs/>
          <w:color w:val="EE0000"/>
          <w:sz w:val="20"/>
        </w:rPr>
      </w:pPr>
      <w:r w:rsidRPr="00D2411D">
        <w:rPr>
          <w:rFonts w:ascii="Arial" w:hAnsi="Arial" w:cs="Arial"/>
          <w:b/>
          <w:bCs/>
          <w:iCs/>
          <w:color w:val="EE0000"/>
          <w:sz w:val="20"/>
          <w:highlight w:val="yellow"/>
        </w:rPr>
        <w:t xml:space="preserve">SOLICITAR </w:t>
      </w:r>
      <w:r w:rsidR="00D2411D" w:rsidRPr="00D2411D">
        <w:rPr>
          <w:rFonts w:ascii="Arial" w:hAnsi="Arial" w:cs="Arial"/>
          <w:b/>
          <w:bCs/>
          <w:iCs/>
          <w:color w:val="EE0000"/>
          <w:sz w:val="20"/>
          <w:highlight w:val="yellow"/>
        </w:rPr>
        <w:t xml:space="preserve">VÍA </w:t>
      </w:r>
      <w:r w:rsidR="00A96211">
        <w:rPr>
          <w:rFonts w:ascii="Arial" w:hAnsi="Arial" w:cs="Arial"/>
          <w:b/>
          <w:bCs/>
          <w:iCs/>
          <w:color w:val="EE0000"/>
          <w:sz w:val="20"/>
          <w:highlight w:val="yellow"/>
        </w:rPr>
        <w:t>CORREO ELECTRÓNICO</w:t>
      </w:r>
      <w:r w:rsidR="00D2411D" w:rsidRPr="00D2411D">
        <w:rPr>
          <w:rFonts w:ascii="Arial" w:hAnsi="Arial" w:cs="Arial"/>
          <w:b/>
          <w:bCs/>
          <w:iCs/>
          <w:color w:val="EE0000"/>
          <w:sz w:val="20"/>
          <w:highlight w:val="yellow"/>
        </w:rPr>
        <w:t xml:space="preserve"> PARA COTIZAR </w:t>
      </w:r>
      <w:r w:rsidRPr="00D2411D">
        <w:rPr>
          <w:rFonts w:ascii="Arial" w:hAnsi="Arial" w:cs="Arial"/>
          <w:b/>
          <w:bCs/>
          <w:iCs/>
          <w:color w:val="EE0000"/>
          <w:sz w:val="20"/>
          <w:highlight w:val="yellow"/>
        </w:rPr>
        <w:t xml:space="preserve">EL ANEXO </w:t>
      </w:r>
      <w:r w:rsidR="00A96211">
        <w:rPr>
          <w:rFonts w:ascii="Arial" w:hAnsi="Arial" w:cs="Arial"/>
          <w:b/>
          <w:bCs/>
          <w:iCs/>
          <w:color w:val="EE0000"/>
          <w:sz w:val="20"/>
          <w:highlight w:val="yellow"/>
        </w:rPr>
        <w:t>2</w:t>
      </w:r>
      <w:r w:rsidRPr="00D2411D">
        <w:rPr>
          <w:rFonts w:ascii="Arial" w:hAnsi="Arial" w:cs="Arial"/>
          <w:b/>
          <w:bCs/>
          <w:iCs/>
          <w:color w:val="EE0000"/>
          <w:sz w:val="20"/>
          <w:highlight w:val="yellow"/>
        </w:rPr>
        <w:t xml:space="preserve"> CON EL DETALLE DE LOS PREDIOS </w:t>
      </w:r>
      <w:r w:rsidR="0074680B" w:rsidRPr="00D2411D">
        <w:rPr>
          <w:rFonts w:ascii="Arial" w:hAnsi="Arial" w:cs="Arial"/>
          <w:b/>
          <w:bCs/>
          <w:iCs/>
          <w:color w:val="EE0000"/>
          <w:sz w:val="20"/>
          <w:highlight w:val="yellow"/>
        </w:rPr>
        <w:t>POR RAZONES DE CONFIDENCIALIDAD</w:t>
      </w:r>
    </w:p>
    <w:p w14:paraId="266938AD" w14:textId="77777777" w:rsidR="000C0156" w:rsidRDefault="000C0156" w:rsidP="00B54393">
      <w:pPr>
        <w:ind w:left="792"/>
        <w:contextualSpacing/>
        <w:jc w:val="both"/>
        <w:rPr>
          <w:rFonts w:ascii="Arial" w:hAnsi="Arial" w:cs="Arial"/>
          <w:iCs/>
          <w:color w:val="EE0000"/>
          <w:sz w:val="20"/>
        </w:rPr>
      </w:pPr>
    </w:p>
    <w:p w14:paraId="4143401D" w14:textId="2ECE1769" w:rsidR="00E4314E" w:rsidRPr="00A71CDC" w:rsidRDefault="00E4314E" w:rsidP="00B54393">
      <w:pPr>
        <w:ind w:left="792"/>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B54393">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275D1F88" w:rsidR="002235CB" w:rsidRPr="00A71CDC" w:rsidRDefault="002235CB"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plazo ofertado</w:t>
      </w:r>
      <w:r w:rsidR="00505BE5">
        <w:rPr>
          <w:rFonts w:ascii="Arial" w:hAnsi="Arial" w:cs="Arial"/>
          <w:b/>
          <w:bCs/>
          <w:i/>
          <w:color w:val="000000" w:themeColor="text1"/>
          <w:sz w:val="20"/>
        </w:rPr>
        <w:t>.</w:t>
      </w:r>
    </w:p>
    <w:p w14:paraId="1B3A3741" w14:textId="1272B8F1" w:rsidR="00A71CDC" w:rsidRPr="00A71CDC" w:rsidRDefault="00A71CDC" w:rsidP="00A71CDC">
      <w:pPr>
        <w:pStyle w:val="Prrafodelista"/>
        <w:numPr>
          <w:ilvl w:val="0"/>
          <w:numId w:val="11"/>
        </w:numPr>
        <w:jc w:val="both"/>
        <w:rPr>
          <w:rFonts w:ascii="Arial" w:hAnsi="Arial" w:cs="Arial"/>
          <w:b/>
          <w:bCs/>
          <w:i/>
          <w:color w:val="000000" w:themeColor="text1"/>
          <w:sz w:val="20"/>
        </w:rPr>
      </w:pPr>
      <w:r w:rsidRPr="00A71CDC">
        <w:rPr>
          <w:rFonts w:ascii="Arial" w:hAnsi="Arial" w:cs="Arial"/>
          <w:b/>
          <w:bCs/>
          <w:i/>
          <w:color w:val="000000" w:themeColor="text1"/>
          <w:sz w:val="20"/>
        </w:rPr>
        <w:t>Indicar aceptación de la forma de pago.</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3AC70169" w14:textId="1CE89489" w:rsidR="00F9496D" w:rsidRPr="00F9496D" w:rsidRDefault="00F9496D" w:rsidP="00F9496D">
      <w:pPr>
        <w:pStyle w:val="Prrafodelista"/>
        <w:numPr>
          <w:ilvl w:val="0"/>
          <w:numId w:val="11"/>
        </w:numPr>
        <w:tabs>
          <w:tab w:val="center" w:pos="5124"/>
          <w:tab w:val="right" w:pos="9543"/>
        </w:tabs>
        <w:jc w:val="both"/>
        <w:rPr>
          <w:rFonts w:ascii="Arial" w:hAnsi="Arial" w:cs="Arial"/>
          <w:b/>
          <w:bCs/>
          <w:i/>
          <w:color w:val="000000" w:themeColor="text1"/>
          <w:sz w:val="20"/>
        </w:rPr>
      </w:pPr>
      <w:r w:rsidRPr="00F9496D">
        <w:rPr>
          <w:rFonts w:ascii="Arial" w:hAnsi="Arial" w:cs="Arial"/>
          <w:b/>
          <w:bCs/>
          <w:i/>
          <w:color w:val="000000" w:themeColor="text1"/>
          <w:sz w:val="20"/>
        </w:rPr>
        <w:t>El perito tasador debe estar habilitado y estar inscrito en el REPEV de la SBS (vigente).</w:t>
      </w:r>
    </w:p>
    <w:p w14:paraId="7F8DE186" w14:textId="6C4ABC85" w:rsidR="00F9496D" w:rsidRPr="0053089D" w:rsidRDefault="00F9496D" w:rsidP="0053089D">
      <w:pPr>
        <w:pStyle w:val="Prrafodelista"/>
        <w:numPr>
          <w:ilvl w:val="0"/>
          <w:numId w:val="11"/>
        </w:numPr>
        <w:tabs>
          <w:tab w:val="center" w:pos="5124"/>
          <w:tab w:val="right" w:pos="9543"/>
        </w:tabs>
        <w:jc w:val="both"/>
        <w:rPr>
          <w:rFonts w:ascii="Arial" w:hAnsi="Arial" w:cs="Arial"/>
          <w:b/>
          <w:bCs/>
          <w:i/>
          <w:color w:val="000000" w:themeColor="text1"/>
          <w:sz w:val="20"/>
        </w:rPr>
      </w:pPr>
      <w:r w:rsidRPr="0053089D">
        <w:rPr>
          <w:rFonts w:ascii="Arial" w:hAnsi="Arial" w:cs="Arial"/>
          <w:b/>
          <w:bCs/>
          <w:i/>
          <w:color w:val="000000" w:themeColor="text1"/>
          <w:sz w:val="20"/>
        </w:rPr>
        <w:t>El perito tasador no deberá haber participado antes en la tasación del inmueble que forma parte del presente servicio. Para 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0111BD5B" w14:textId="61A2ECDB" w:rsidR="00F9496D" w:rsidRPr="0053089D" w:rsidRDefault="00F9496D" w:rsidP="0053089D">
      <w:pPr>
        <w:pStyle w:val="Prrafodelista"/>
        <w:numPr>
          <w:ilvl w:val="0"/>
          <w:numId w:val="11"/>
        </w:numPr>
        <w:tabs>
          <w:tab w:val="center" w:pos="5124"/>
          <w:tab w:val="right" w:pos="9543"/>
        </w:tabs>
        <w:jc w:val="both"/>
        <w:rPr>
          <w:rFonts w:ascii="Arial" w:hAnsi="Arial" w:cs="Arial"/>
          <w:b/>
          <w:bCs/>
          <w:i/>
          <w:color w:val="000000" w:themeColor="text1"/>
          <w:sz w:val="20"/>
        </w:rPr>
      </w:pPr>
      <w:r w:rsidRPr="0053089D">
        <w:rPr>
          <w:rFonts w:ascii="Arial" w:hAnsi="Arial" w:cs="Arial"/>
          <w:b/>
          <w:bCs/>
          <w:i/>
          <w:color w:val="000000" w:themeColor="text1"/>
          <w:sz w:val="20"/>
        </w:rPr>
        <w:t>El perito tasador no deberá tener ningún vínculo con alguna empresa tasadora y/o perito tasador que haya prestado el servicio de tasación por el inmueble que forma parte del presente servicio. Para 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209A0049" w14:textId="1A593056" w:rsidR="00F9496D" w:rsidRPr="0053089D" w:rsidRDefault="00F9496D" w:rsidP="0053089D">
      <w:pPr>
        <w:pStyle w:val="Prrafodelista"/>
        <w:numPr>
          <w:ilvl w:val="0"/>
          <w:numId w:val="11"/>
        </w:numPr>
        <w:tabs>
          <w:tab w:val="center" w:pos="5124"/>
          <w:tab w:val="right" w:pos="9543"/>
        </w:tabs>
        <w:jc w:val="both"/>
        <w:rPr>
          <w:rFonts w:ascii="Arial" w:hAnsi="Arial" w:cs="Arial"/>
          <w:b/>
          <w:bCs/>
          <w:i/>
          <w:color w:val="000000" w:themeColor="text1"/>
          <w:sz w:val="20"/>
        </w:rPr>
      </w:pPr>
      <w:r w:rsidRPr="0053089D">
        <w:rPr>
          <w:rFonts w:ascii="Arial" w:hAnsi="Arial" w:cs="Arial"/>
          <w:b/>
          <w:bCs/>
          <w:i/>
          <w:color w:val="000000" w:themeColor="text1"/>
          <w:sz w:val="20"/>
        </w:rPr>
        <w:t>La empresa tasadora no deberá haber participado antes de la tasación del inmueble que forma parte del presente servicio. Para cumplir con este requisito se deberá presentar una DJ en la que se indique dicha situación.</w:t>
      </w:r>
    </w:p>
    <w:p w14:paraId="4F09BB26" w14:textId="5AAFB5CF" w:rsidR="00F9496D" w:rsidRPr="0053089D" w:rsidRDefault="00F9496D" w:rsidP="0053089D">
      <w:pPr>
        <w:pStyle w:val="Prrafodelista"/>
        <w:numPr>
          <w:ilvl w:val="0"/>
          <w:numId w:val="11"/>
        </w:numPr>
        <w:tabs>
          <w:tab w:val="center" w:pos="5124"/>
          <w:tab w:val="right" w:pos="9543"/>
        </w:tabs>
        <w:jc w:val="both"/>
        <w:rPr>
          <w:rFonts w:ascii="Arial" w:hAnsi="Arial" w:cs="Arial"/>
          <w:b/>
          <w:bCs/>
          <w:i/>
          <w:color w:val="000000" w:themeColor="text1"/>
          <w:sz w:val="20"/>
        </w:rPr>
      </w:pPr>
      <w:r w:rsidRPr="0053089D">
        <w:rPr>
          <w:rFonts w:ascii="Arial" w:hAnsi="Arial" w:cs="Arial"/>
          <w:b/>
          <w:bCs/>
          <w:i/>
          <w:color w:val="000000" w:themeColor="text1"/>
          <w:sz w:val="20"/>
        </w:rPr>
        <w:t>La empresa tasadora deberá acreditar, como mínimo, un monto facturado acumulado equivalente a S/ 30,000.00 (treinta mil con 00/100 soles), específicamente por la contratación del servicio de tasación de bienes inmuebles. La experiencia de la empresa tasadora se acreditará con copia simple de contratos u órdenes de servicios, y su respectiva conformidad o constancia de prestación; o comprobantes de pago cuya cancelación se encuentre acreditada.</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1A672" w14:textId="77777777" w:rsidR="009C74AE" w:rsidRDefault="009C74AE">
      <w:r>
        <w:separator/>
      </w:r>
    </w:p>
  </w:endnote>
  <w:endnote w:type="continuationSeparator" w:id="0">
    <w:p w14:paraId="6306622F" w14:textId="77777777" w:rsidR="009C74AE" w:rsidRDefault="009C7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7D405" w14:textId="77777777" w:rsidR="009C74AE" w:rsidRDefault="009C74AE">
      <w:r>
        <w:separator/>
      </w:r>
    </w:p>
  </w:footnote>
  <w:footnote w:type="continuationSeparator" w:id="0">
    <w:p w14:paraId="4F5F4AF4" w14:textId="77777777" w:rsidR="009C74AE" w:rsidRDefault="009C7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17506"/>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089D"/>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4AE"/>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536"/>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81"/>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6D"/>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347</Words>
  <Characters>1911</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2026-08-04T00:04:00Z</dcterms:created>
  <dcterms:modified xsi:type="dcterms:W3CDTF">2026-08-04T00:04:00Z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