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289A62A0" w14:textId="77777777" w:rsidR="00330BFB" w:rsidRPr="00330BFB" w:rsidRDefault="00330BFB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330BFB">
        <w:rPr>
          <w:rFonts w:ascii="Arial" w:hAnsi="Arial" w:cs="Arial"/>
          <w:b/>
          <w:bCs/>
          <w:sz w:val="28"/>
          <w:szCs w:val="28"/>
        </w:rPr>
        <w:t xml:space="preserve">Experiencia: </w:t>
      </w:r>
    </w:p>
    <w:p w14:paraId="750E7AFF" w14:textId="573BA2F4" w:rsidR="00330BFB" w:rsidRPr="00330BFB" w:rsidRDefault="00330BFB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330BFB">
        <w:rPr>
          <w:rFonts w:ascii="Arial" w:hAnsi="Arial" w:cs="Arial"/>
          <w:sz w:val="28"/>
          <w:szCs w:val="28"/>
        </w:rPr>
        <w:sym w:font="Symbol" w:char="F0B7"/>
      </w:r>
      <w:r w:rsidRPr="00330BFB">
        <w:rPr>
          <w:rFonts w:ascii="Arial" w:hAnsi="Arial" w:cs="Arial"/>
          <w:sz w:val="28"/>
          <w:szCs w:val="28"/>
        </w:rPr>
        <w:t xml:space="preserve"> El postor debe acreditar un monto facturado acumulado equivalente a S/ 3,700.00 (tres mil setecientos con 00/100 soles), en los últimos 5 años, en servicios iguales o similares al objeto de la prestación, pudiendo ser en entidades públicas o privadas. Se consideran servicios similares a los siguientes: alimentación, refrigerios, catering o suministro de comidas y bebidas</w:t>
      </w:r>
      <w:r>
        <w:rPr>
          <w:rFonts w:ascii="Arial" w:hAnsi="Arial" w:cs="Arial"/>
          <w:sz w:val="28"/>
          <w:szCs w:val="28"/>
        </w:rPr>
        <w:t>.</w:t>
      </w:r>
    </w:p>
    <w:p w14:paraId="4810F152" w14:textId="32AEC028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330BFB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2025-06-25T22:38:00Z</dcterms:created>
  <dcterms:modified xsi:type="dcterms:W3CDTF">2025-06-25T22:38:00Z</dcterms:modified>
</cp:coreProperties>
</file>