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76CBEB65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3A77BE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de </w:t>
      </w:r>
      <w:r w:rsidR="00AF1A66">
        <w:rPr>
          <w:rFonts w:asciiTheme="minorHAnsi" w:hAnsiTheme="minorHAnsi" w:cs="Arial"/>
          <w:bCs/>
          <w:color w:val="000000" w:themeColor="text1"/>
          <w:sz w:val="22"/>
          <w:szCs w:val="22"/>
        </w:rPr>
        <w:t>analista en planeamiento y presupuesto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672912F5" w:rsidR="00F90A9C" w:rsidRPr="003A77BE" w:rsidRDefault="00AF1A66" w:rsidP="00530E3B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de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analista en planeamiento y presupuesto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6EEA0F23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 xml:space="preserve">os documentos requeridos en los Términos </w:t>
      </w:r>
      <w:r w:rsidR="00AF1A66">
        <w:rPr>
          <w:rFonts w:asciiTheme="minorHAnsi" w:hAnsiTheme="minorHAnsi"/>
          <w:sz w:val="21"/>
          <w:szCs w:val="21"/>
        </w:rPr>
        <w:t>de Referencia (numeral IV</w:t>
      </w:r>
      <w:bookmarkStart w:id="0" w:name="_GoBack"/>
      <w:bookmarkEnd w:id="0"/>
      <w:r w:rsidRPr="003A77BE">
        <w:rPr>
          <w:rFonts w:asciiTheme="minorHAnsi" w:hAnsiTheme="minorHAnsi"/>
          <w:sz w:val="21"/>
          <w:szCs w:val="21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3F153E7F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en el enlace “Otros documentos”. Todas las hojas deberán contar con foliación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AE6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1A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EBAF247-63F8-4946-B72E-B43A2C3ED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262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24</cp:revision>
  <cp:lastPrinted>2024-02-28T21:23:00Z</cp:lastPrinted>
  <dcterms:created xsi:type="dcterms:W3CDTF">2024-03-06T13:58:00Z</dcterms:created>
  <dcterms:modified xsi:type="dcterms:W3CDTF">2025-07-09T19:15:00Z</dcterms:modified>
</cp:coreProperties>
</file>