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01178A" w:rsidRDefault="0001178A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Copia de Vigencia Poder con una antigüedad máxima de 3 meses, solo en caso de persona jurídica.</w:t>
      </w:r>
    </w:p>
    <w:p w:rsidR="00386EC8" w:rsidRPr="00386EC8" w:rsidRDefault="00386EC8" w:rsidP="00386EC8">
      <w:pPr>
        <w:pStyle w:val="Prrafodelista"/>
        <w:rPr>
          <w:lang w:val="es-ES"/>
        </w:rPr>
      </w:pPr>
      <w:bookmarkStart w:id="0" w:name="_GoBack"/>
      <w:bookmarkEnd w:id="0"/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1178A"/>
    <w:rsid w:val="00064855"/>
    <w:rsid w:val="00386EC8"/>
    <w:rsid w:val="00490934"/>
    <w:rsid w:val="00601A10"/>
    <w:rsid w:val="007B6F2D"/>
    <w:rsid w:val="00A82D37"/>
    <w:rsid w:val="00B47392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FB75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10</cp:revision>
  <cp:lastPrinted>2025-05-19T14:56:00Z</cp:lastPrinted>
  <dcterms:created xsi:type="dcterms:W3CDTF">2025-05-26T23:23:00Z</dcterms:created>
  <dcterms:modified xsi:type="dcterms:W3CDTF">2025-05-27T23:14:00Z</dcterms:modified>
</cp:coreProperties>
</file>