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B9C0203" w14:textId="4E5DA951" w:rsidR="002B28AD" w:rsidRDefault="005F448F" w:rsidP="005F44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0632385"/>
      <w:r w:rsidRPr="005F448F">
        <w:rPr>
          <w:rFonts w:ascii="Arial" w:hAnsi="Arial" w:cs="Arial"/>
          <w:b/>
          <w:sz w:val="20"/>
        </w:rPr>
        <w:t>ADQUISICION DE HUB DE TRANSFERENCIA PARA CONECTIVIDAD DATOS</w:t>
      </w:r>
    </w:p>
    <w:bookmarkEnd w:id="0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1C3B78D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F448F" w:rsidRPr="005F448F">
        <w:rPr>
          <w:rFonts w:ascii="Arial" w:hAnsi="Arial" w:cs="Arial"/>
          <w:b/>
          <w:sz w:val="20"/>
        </w:rPr>
        <w:t>ADQUISICION DE HUB DE TRANSFERENCIA PARA CONECTIVIDAD DATOS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644D"/>
    <w:rsid w:val="0072508D"/>
    <w:rsid w:val="007274DB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2025-07-22T17:49:00Z</dcterms:created>
  <dcterms:modified xsi:type="dcterms:W3CDTF">2025-07-22T17:49:00Z</dcterms:modified>
</cp:coreProperties>
</file>