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424B9" w14:textId="34361C25" w:rsidR="000C3C4F" w:rsidRPr="00956639" w:rsidRDefault="000C3C4F" w:rsidP="000C3C4F">
      <w:pPr>
        <w:widowControl w:val="0"/>
        <w:suppressAutoHyphens/>
        <w:spacing w:after="0" w:line="240" w:lineRule="auto"/>
        <w:jc w:val="both"/>
        <w:rPr>
          <w:rFonts w:ascii="Arial" w:eastAsia="Times New Roman" w:hAnsi="Arial" w:cs="Arial"/>
          <w:lang w:eastAsia="ar-SA"/>
        </w:rPr>
      </w:pPr>
      <w:bookmarkStart w:id="0" w:name="_Hlk201846966"/>
      <w:r w:rsidRPr="00956639">
        <w:rPr>
          <w:rFonts w:ascii="Arial" w:eastAsia="Times New Roman" w:hAnsi="Arial" w:cs="Arial"/>
          <w:b/>
          <w:bCs/>
          <w:lang w:val="es-ES" w:eastAsia="ar-SA"/>
        </w:rPr>
        <w:t>Referencia:</w:t>
      </w:r>
      <w:r w:rsidRPr="00956639">
        <w:rPr>
          <w:rFonts w:ascii="Arial" w:eastAsia="Times New Roman" w:hAnsi="Arial" w:cs="Arial"/>
          <w:lang w:val="es-ES" w:eastAsia="ar-SA"/>
        </w:rPr>
        <w:t xml:space="preserve"> Contratación del </w:t>
      </w:r>
      <w:r w:rsidRPr="00956639">
        <w:rPr>
          <w:rFonts w:ascii="Arial" w:eastAsia="Times New Roman" w:hAnsi="Arial" w:cs="Arial"/>
          <w:lang w:eastAsia="ar-SA"/>
        </w:rPr>
        <w:t>“</w:t>
      </w:r>
      <w:bookmarkStart w:id="1" w:name="_Hlk201846912"/>
      <w:r w:rsidR="00C676E3" w:rsidRPr="00956639">
        <w:rPr>
          <w:rFonts w:ascii="Arial" w:eastAsia="Times New Roman" w:hAnsi="Arial" w:cs="Arial"/>
          <w:lang w:eastAsia="ar-SA"/>
        </w:rPr>
        <w:t>Servicio de mantenimiento preventivo del sistema contra incendios a todo costo en la sede Chachapoyas del Ministerio Publico - Distrito Fiscal de Amazonas</w:t>
      </w:r>
      <w:r w:rsidRPr="00956639">
        <w:rPr>
          <w:rFonts w:ascii="Arial" w:eastAsia="Times New Roman" w:hAnsi="Arial" w:cs="Arial"/>
          <w:lang w:eastAsia="ar-SA"/>
        </w:rPr>
        <w:t>”</w:t>
      </w:r>
      <w:bookmarkEnd w:id="1"/>
      <w:r w:rsidRPr="00956639">
        <w:rPr>
          <w:rFonts w:ascii="Arial" w:eastAsia="Times New Roman" w:hAnsi="Arial" w:cs="Arial"/>
          <w:lang w:eastAsia="ar-SA"/>
        </w:rPr>
        <w:t>.</w:t>
      </w:r>
    </w:p>
    <w:p w14:paraId="799E8B77" w14:textId="77777777" w:rsidR="00956639" w:rsidRDefault="00956639" w:rsidP="000C3C4F">
      <w:pPr>
        <w:widowControl w:val="0"/>
        <w:suppressAutoHyphens/>
        <w:spacing w:after="0" w:line="240" w:lineRule="auto"/>
        <w:jc w:val="both"/>
        <w:rPr>
          <w:rFonts w:ascii="Arial" w:eastAsia="Times New Roman" w:hAnsi="Arial" w:cs="Arial"/>
          <w:lang w:eastAsia="ar-SA"/>
        </w:rPr>
      </w:pPr>
    </w:p>
    <w:p w14:paraId="289D1362" w14:textId="0E1BABFF" w:rsidR="00956639" w:rsidRPr="00956639" w:rsidRDefault="00956639" w:rsidP="000C3C4F">
      <w:pPr>
        <w:widowControl w:val="0"/>
        <w:suppressAutoHyphens/>
        <w:spacing w:after="0" w:line="240" w:lineRule="auto"/>
        <w:jc w:val="both"/>
        <w:rPr>
          <w:rFonts w:ascii="Arial" w:eastAsia="Times New Roman" w:hAnsi="Arial" w:cs="Arial"/>
          <w:b/>
          <w:bCs/>
          <w:color w:val="EE0000"/>
          <w:lang w:eastAsia="ar-SA"/>
        </w:rPr>
      </w:pPr>
      <w:r w:rsidRPr="00956639">
        <w:rPr>
          <w:rFonts w:ascii="Arial" w:eastAsia="Times New Roman" w:hAnsi="Arial" w:cs="Arial"/>
          <w:b/>
          <w:bCs/>
          <w:color w:val="EE0000"/>
          <w:lang w:eastAsia="ar-SA"/>
        </w:rPr>
        <w:t>ALGUNAS CONSIDERACIONES</w:t>
      </w:r>
    </w:p>
    <w:p w14:paraId="21542581" w14:textId="77777777" w:rsidR="00956639" w:rsidRPr="00956639" w:rsidRDefault="00956639" w:rsidP="000C3C4F">
      <w:pPr>
        <w:widowControl w:val="0"/>
        <w:suppressAutoHyphens/>
        <w:spacing w:after="0" w:line="240" w:lineRule="auto"/>
        <w:jc w:val="both"/>
        <w:rPr>
          <w:rFonts w:ascii="Arial" w:eastAsia="Times New Roman" w:hAnsi="Arial" w:cs="Arial"/>
          <w:lang w:eastAsia="ar-SA"/>
        </w:rPr>
      </w:pPr>
    </w:p>
    <w:p w14:paraId="156574A3" w14:textId="77777777" w:rsidR="00956639" w:rsidRPr="00956639" w:rsidRDefault="00956639" w:rsidP="000C3C4F">
      <w:pPr>
        <w:widowControl w:val="0"/>
        <w:suppressAutoHyphens/>
        <w:spacing w:after="0" w:line="240" w:lineRule="auto"/>
        <w:jc w:val="both"/>
        <w:rPr>
          <w:rFonts w:ascii="Arial" w:eastAsia="Times New Roman" w:hAnsi="Arial" w:cs="Arial"/>
          <w:lang w:eastAsia="ar-SA"/>
        </w:rPr>
      </w:pPr>
      <w:r w:rsidRPr="00956639">
        <w:rPr>
          <w:rFonts w:ascii="Arial" w:eastAsia="Times New Roman" w:hAnsi="Arial" w:cs="Arial"/>
          <w:b/>
          <w:bCs/>
          <w:lang w:eastAsia="ar-SA"/>
        </w:rPr>
        <w:t>5.3. REQUISITOS SEGÚN LEYES, REGLAMENTOS TÉCNICOS, NORMAS METROLÓGICAS Y/O SANITARIAS, REGLAMENTOS Y DEMÁS NORMAS</w:t>
      </w:r>
      <w:r w:rsidRPr="00956639">
        <w:rPr>
          <w:rFonts w:ascii="Arial" w:eastAsia="Times New Roman" w:hAnsi="Arial" w:cs="Arial"/>
          <w:lang w:eastAsia="ar-SA"/>
        </w:rPr>
        <w:t xml:space="preserve"> </w:t>
      </w:r>
    </w:p>
    <w:p w14:paraId="4A162504" w14:textId="4A115137" w:rsidR="00956639" w:rsidRPr="00956639" w:rsidRDefault="00956639" w:rsidP="000C3C4F">
      <w:pPr>
        <w:widowControl w:val="0"/>
        <w:suppressAutoHyphens/>
        <w:spacing w:after="0" w:line="240" w:lineRule="auto"/>
        <w:jc w:val="both"/>
        <w:rPr>
          <w:rFonts w:ascii="Arial" w:eastAsia="Times New Roman" w:hAnsi="Arial" w:cs="Arial"/>
          <w:lang w:val="es-ES" w:eastAsia="ar-SA"/>
        </w:rPr>
      </w:pPr>
      <w:r w:rsidRPr="00956639">
        <w:rPr>
          <w:rFonts w:ascii="Arial" w:eastAsia="Times New Roman" w:hAnsi="Arial" w:cs="Arial"/>
          <w:lang w:eastAsia="ar-SA"/>
        </w:rPr>
        <w:t xml:space="preserve">Para la ejecución del presente servicio, el contratista y todo su personal, quienes realizarán los trabajos de mantenimiento, deberán cumplir con los requisitos establecidos en el Reglamento Nacional de Edificaciones RNE, Código Nacional de Electricidad (CNE Utilización 2006, Suministro 2011) y Norma Técnica Peruana NTP 370.305. El contratista debe cumplir con lo estipulado en la Ley </w:t>
      </w:r>
      <w:proofErr w:type="spellStart"/>
      <w:r w:rsidRPr="00956639">
        <w:rPr>
          <w:rFonts w:ascii="Arial" w:eastAsia="Times New Roman" w:hAnsi="Arial" w:cs="Arial"/>
          <w:lang w:eastAsia="ar-SA"/>
        </w:rPr>
        <w:t>N°</w:t>
      </w:r>
      <w:proofErr w:type="spellEnd"/>
      <w:r w:rsidRPr="00956639">
        <w:rPr>
          <w:rFonts w:ascii="Arial" w:eastAsia="Times New Roman" w:hAnsi="Arial" w:cs="Arial"/>
          <w:lang w:eastAsia="ar-SA"/>
        </w:rPr>
        <w:t xml:space="preserve"> 29783 y su Reglamento para la atención del presente requerimiento.</w:t>
      </w:r>
    </w:p>
    <w:bookmarkEnd w:id="0"/>
    <w:p w14:paraId="14802473" w14:textId="77777777" w:rsidR="000C3C4F" w:rsidRPr="00956639" w:rsidRDefault="000C3C4F" w:rsidP="000C3C4F">
      <w:pPr>
        <w:spacing w:after="4" w:line="250" w:lineRule="auto"/>
        <w:jc w:val="both"/>
        <w:rPr>
          <w:rFonts w:ascii="Arial" w:hAnsi="Arial" w:cs="Arial"/>
          <w:b/>
          <w:bCs/>
          <w:color w:val="000000"/>
          <w:kern w:val="0"/>
        </w:rPr>
      </w:pPr>
    </w:p>
    <w:p w14:paraId="3012BE2C" w14:textId="77777777" w:rsidR="00956639" w:rsidRDefault="00956639" w:rsidP="000C3C4F">
      <w:pPr>
        <w:spacing w:after="4" w:line="250" w:lineRule="auto"/>
        <w:jc w:val="both"/>
        <w:rPr>
          <w:rFonts w:ascii="Arial" w:hAnsi="Arial" w:cs="Arial"/>
          <w:b/>
          <w:bCs/>
          <w:color w:val="000000"/>
          <w:kern w:val="0"/>
        </w:rPr>
      </w:pPr>
      <w:r w:rsidRPr="00956639">
        <w:rPr>
          <w:rFonts w:ascii="Arial" w:hAnsi="Arial" w:cs="Arial"/>
          <w:b/>
          <w:bCs/>
          <w:color w:val="000000"/>
          <w:kern w:val="0"/>
        </w:rPr>
        <w:t>5.5.1. REQUISITOS DEL PROVE</w:t>
      </w:r>
      <w:r>
        <w:rPr>
          <w:rFonts w:ascii="Arial" w:hAnsi="Arial" w:cs="Arial"/>
          <w:b/>
          <w:bCs/>
          <w:color w:val="000000"/>
          <w:kern w:val="0"/>
        </w:rPr>
        <w:t>E</w:t>
      </w:r>
      <w:r w:rsidRPr="00956639">
        <w:rPr>
          <w:rFonts w:ascii="Arial" w:hAnsi="Arial" w:cs="Arial"/>
          <w:b/>
          <w:bCs/>
          <w:color w:val="000000"/>
          <w:kern w:val="0"/>
        </w:rPr>
        <w:t>DOR</w:t>
      </w:r>
    </w:p>
    <w:p w14:paraId="191691BF" w14:textId="77777777" w:rsidR="00956639" w:rsidRDefault="00956639" w:rsidP="00956639">
      <w:pPr>
        <w:pStyle w:val="Prrafodelista"/>
        <w:numPr>
          <w:ilvl w:val="0"/>
          <w:numId w:val="17"/>
        </w:numPr>
        <w:spacing w:after="4" w:line="250" w:lineRule="auto"/>
        <w:jc w:val="both"/>
        <w:rPr>
          <w:rFonts w:ascii="Arial" w:hAnsi="Arial" w:cs="Arial"/>
          <w:color w:val="000000"/>
          <w:kern w:val="0"/>
        </w:rPr>
      </w:pPr>
      <w:r w:rsidRPr="00956639">
        <w:rPr>
          <w:rFonts w:ascii="Arial" w:hAnsi="Arial" w:cs="Arial"/>
          <w:color w:val="000000"/>
          <w:kern w:val="0"/>
        </w:rPr>
        <w:t xml:space="preserve">Persona Natural o Jurídica Inscrita en el Registro Nacional de Proveedores RNP, como Proveedor de Servicios. </w:t>
      </w:r>
    </w:p>
    <w:p w14:paraId="25699B3C" w14:textId="77777777" w:rsidR="00956639" w:rsidRDefault="00956639" w:rsidP="00956639">
      <w:pPr>
        <w:pStyle w:val="Prrafodelista"/>
        <w:numPr>
          <w:ilvl w:val="0"/>
          <w:numId w:val="17"/>
        </w:numPr>
        <w:spacing w:after="4" w:line="250" w:lineRule="auto"/>
        <w:jc w:val="both"/>
        <w:rPr>
          <w:rFonts w:ascii="Arial" w:hAnsi="Arial" w:cs="Arial"/>
          <w:color w:val="000000"/>
          <w:kern w:val="0"/>
        </w:rPr>
      </w:pPr>
      <w:r w:rsidRPr="00956639">
        <w:rPr>
          <w:rFonts w:ascii="Arial" w:hAnsi="Arial" w:cs="Arial"/>
          <w:color w:val="000000"/>
          <w:kern w:val="0"/>
        </w:rPr>
        <w:t xml:space="preserve">No estar impedido, inhabilitado ni suspendido para contratar con el estado. </w:t>
      </w:r>
    </w:p>
    <w:p w14:paraId="06D53CE6" w14:textId="5F752164" w:rsidR="000C3C4F" w:rsidRPr="00956639" w:rsidRDefault="00956639" w:rsidP="00956639">
      <w:pPr>
        <w:pStyle w:val="Prrafodelista"/>
        <w:numPr>
          <w:ilvl w:val="0"/>
          <w:numId w:val="17"/>
        </w:numPr>
        <w:spacing w:after="4" w:line="250" w:lineRule="auto"/>
        <w:jc w:val="both"/>
        <w:rPr>
          <w:rFonts w:ascii="Arial" w:hAnsi="Arial" w:cs="Arial"/>
          <w:color w:val="000000"/>
          <w:kern w:val="0"/>
        </w:rPr>
      </w:pPr>
      <w:r w:rsidRPr="00956639">
        <w:rPr>
          <w:rFonts w:ascii="Arial" w:hAnsi="Arial" w:cs="Arial"/>
          <w:color w:val="000000"/>
          <w:kern w:val="0"/>
        </w:rPr>
        <w:t>Contar con RUC activo y habido</w:t>
      </w:r>
      <w:r>
        <w:rPr>
          <w:rFonts w:ascii="Arial" w:hAnsi="Arial" w:cs="Arial"/>
          <w:color w:val="000000"/>
          <w:kern w:val="0"/>
        </w:rPr>
        <w:t>.</w:t>
      </w:r>
    </w:p>
    <w:p w14:paraId="2E5952CB" w14:textId="77777777" w:rsidR="000C3C4F" w:rsidRPr="00956639" w:rsidRDefault="000C3C4F" w:rsidP="000C3C4F">
      <w:pPr>
        <w:spacing w:after="4" w:line="250" w:lineRule="auto"/>
        <w:jc w:val="both"/>
        <w:rPr>
          <w:rFonts w:ascii="Arial" w:hAnsi="Arial" w:cs="Arial"/>
          <w:color w:val="000000"/>
          <w:kern w:val="0"/>
        </w:rPr>
      </w:pPr>
    </w:p>
    <w:p w14:paraId="4DF59DCE" w14:textId="77777777" w:rsidR="00956639" w:rsidRDefault="00956639" w:rsidP="000C3C4F">
      <w:pPr>
        <w:spacing w:after="4" w:line="250" w:lineRule="auto"/>
        <w:jc w:val="both"/>
        <w:rPr>
          <w:rFonts w:ascii="Arial" w:hAnsi="Arial" w:cs="Arial"/>
          <w:b/>
          <w:bCs/>
          <w:color w:val="000000"/>
          <w:kern w:val="0"/>
        </w:rPr>
      </w:pPr>
      <w:r w:rsidRPr="00956639">
        <w:rPr>
          <w:rFonts w:ascii="Arial" w:hAnsi="Arial" w:cs="Arial"/>
          <w:b/>
          <w:bCs/>
          <w:color w:val="000000"/>
          <w:kern w:val="0"/>
        </w:rPr>
        <w:t xml:space="preserve">8. SEGUROS </w:t>
      </w:r>
    </w:p>
    <w:p w14:paraId="46F0E318" w14:textId="5FE7780E" w:rsidR="000C3C4F" w:rsidRPr="00956639" w:rsidRDefault="00956639" w:rsidP="000C3C4F">
      <w:pPr>
        <w:spacing w:after="4" w:line="250" w:lineRule="auto"/>
        <w:jc w:val="both"/>
        <w:rPr>
          <w:rFonts w:ascii="Arial" w:hAnsi="Arial" w:cs="Arial"/>
          <w:color w:val="000000"/>
          <w:kern w:val="0"/>
        </w:rPr>
      </w:pPr>
      <w:r w:rsidRPr="00956639">
        <w:rPr>
          <w:rFonts w:ascii="Arial" w:hAnsi="Arial" w:cs="Arial"/>
          <w:color w:val="000000"/>
          <w:kern w:val="0"/>
        </w:rPr>
        <w:t>El contratista está obligado a tomar todas las medidas de seguridad necesarias para evitar peligros contra la integridad, la vida y la propiedad de las personas o instituciones durante la ejecución del servicio. Siendo necesario contar con la póliza SCTR de Salud y Pensión, cuyas copias de los certificados de pólizas, deberán ser presentados de manera obligatoria, para el perfeccionamiento de contrato, adjunto al plan de trabajo.</w:t>
      </w:r>
    </w:p>
    <w:p w14:paraId="2D12F278" w14:textId="77777777" w:rsidR="00BE4F06" w:rsidRDefault="00BE4F06" w:rsidP="00BE4F06">
      <w:pPr>
        <w:spacing w:after="4" w:line="250" w:lineRule="auto"/>
        <w:jc w:val="both"/>
        <w:rPr>
          <w:rFonts w:ascii="Arial" w:hAnsi="Arial" w:cs="Arial"/>
          <w:color w:val="000000"/>
          <w:kern w:val="0"/>
        </w:rPr>
      </w:pPr>
    </w:p>
    <w:p w14:paraId="65E2D632" w14:textId="77777777" w:rsidR="00BE4F06" w:rsidRDefault="00BE4F06" w:rsidP="00BE4F06">
      <w:pPr>
        <w:spacing w:after="4" w:line="250" w:lineRule="auto"/>
        <w:jc w:val="both"/>
        <w:rPr>
          <w:rFonts w:ascii="Arial" w:hAnsi="Arial" w:cs="Arial"/>
          <w:b/>
          <w:bCs/>
          <w:color w:val="000000"/>
          <w:kern w:val="0"/>
        </w:rPr>
      </w:pPr>
      <w:r w:rsidRPr="00BE4F06">
        <w:rPr>
          <w:rFonts w:ascii="Arial" w:hAnsi="Arial" w:cs="Arial"/>
          <w:b/>
          <w:bCs/>
          <w:color w:val="000000"/>
          <w:kern w:val="0"/>
        </w:rPr>
        <w:t xml:space="preserve">18. REQUISITOS DE CALIFICACIÓN </w:t>
      </w:r>
    </w:p>
    <w:p w14:paraId="1A0E79B7" w14:textId="77777777" w:rsidR="00BE4F06" w:rsidRDefault="00BE4F06" w:rsidP="00BE4F06">
      <w:pPr>
        <w:spacing w:after="4" w:line="250" w:lineRule="auto"/>
        <w:jc w:val="both"/>
        <w:rPr>
          <w:rFonts w:ascii="Arial" w:hAnsi="Arial" w:cs="Arial"/>
          <w:b/>
          <w:bCs/>
          <w:color w:val="000000"/>
          <w:kern w:val="0"/>
        </w:rPr>
      </w:pPr>
    </w:p>
    <w:p w14:paraId="3C62A562" w14:textId="4A402669" w:rsidR="00BE4F06" w:rsidRDefault="00BE4F06" w:rsidP="00BE4F06">
      <w:pPr>
        <w:spacing w:after="4" w:line="250" w:lineRule="auto"/>
        <w:jc w:val="both"/>
        <w:rPr>
          <w:rFonts w:ascii="Arial" w:hAnsi="Arial" w:cs="Arial"/>
          <w:b/>
          <w:bCs/>
          <w:color w:val="000000"/>
          <w:kern w:val="0"/>
        </w:rPr>
      </w:pPr>
      <w:r w:rsidRPr="00BE4F06">
        <w:rPr>
          <w:rFonts w:ascii="Arial" w:hAnsi="Arial" w:cs="Arial"/>
          <w:b/>
          <w:bCs/>
          <w:color w:val="000000"/>
          <w:kern w:val="0"/>
        </w:rPr>
        <w:t>A. CAPACIDAD TÉCNICA Y PROFESIONAL</w:t>
      </w:r>
    </w:p>
    <w:p w14:paraId="734B871A" w14:textId="386026B7" w:rsidR="00BE4F06" w:rsidRDefault="00BE4F06" w:rsidP="00BE4F06">
      <w:pPr>
        <w:spacing w:after="4" w:line="250" w:lineRule="auto"/>
        <w:jc w:val="both"/>
        <w:rPr>
          <w:rFonts w:ascii="Arial" w:hAnsi="Arial" w:cs="Arial"/>
          <w:color w:val="000000"/>
          <w:kern w:val="0"/>
        </w:rPr>
      </w:pPr>
      <w:r w:rsidRPr="00BE4F06">
        <w:rPr>
          <w:rFonts w:ascii="Arial" w:hAnsi="Arial" w:cs="Arial"/>
          <w:b/>
          <w:bCs/>
          <w:color w:val="000000"/>
          <w:kern w:val="0"/>
        </w:rPr>
        <w:t>A.1. EQUIPAMIENTO ESTRATÉGICO</w:t>
      </w:r>
      <w:r w:rsidRPr="00BE4F06">
        <w:rPr>
          <w:rFonts w:ascii="Arial" w:hAnsi="Arial" w:cs="Arial"/>
          <w:color w:val="000000"/>
          <w:kern w:val="0"/>
        </w:rPr>
        <w:t xml:space="preserve"> </w:t>
      </w:r>
    </w:p>
    <w:p w14:paraId="00CB925C" w14:textId="77777777" w:rsidR="00BE4F06" w:rsidRDefault="00BE4F06" w:rsidP="00BE4F06">
      <w:pPr>
        <w:spacing w:after="4" w:line="250" w:lineRule="auto"/>
        <w:jc w:val="both"/>
        <w:rPr>
          <w:rFonts w:ascii="Arial" w:hAnsi="Arial" w:cs="Arial"/>
          <w:color w:val="000000"/>
          <w:kern w:val="0"/>
        </w:rPr>
      </w:pPr>
    </w:p>
    <w:p w14:paraId="73F42569" w14:textId="6A4C00E7"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u w:val="single"/>
        </w:rPr>
        <w:t>Requisitos</w:t>
      </w:r>
      <w:r w:rsidRPr="00BE4F06">
        <w:rPr>
          <w:rFonts w:ascii="Arial" w:hAnsi="Arial" w:cs="Arial"/>
          <w:color w:val="000000"/>
          <w:kern w:val="0"/>
        </w:rPr>
        <w:t xml:space="preserve">: Mínimo (01) un </w:t>
      </w:r>
      <w:proofErr w:type="spellStart"/>
      <w:r w:rsidRPr="00BE4F06">
        <w:rPr>
          <w:rFonts w:ascii="Arial" w:hAnsi="Arial" w:cs="Arial"/>
          <w:color w:val="000000"/>
          <w:kern w:val="0"/>
        </w:rPr>
        <w:t>Megometro</w:t>
      </w:r>
      <w:proofErr w:type="spellEnd"/>
      <w:r w:rsidRPr="00BE4F06">
        <w:rPr>
          <w:rFonts w:ascii="Arial" w:hAnsi="Arial" w:cs="Arial"/>
          <w:color w:val="000000"/>
          <w:kern w:val="0"/>
        </w:rPr>
        <w:t xml:space="preserve"> </w:t>
      </w:r>
    </w:p>
    <w:p w14:paraId="1D3DE377" w14:textId="77777777" w:rsidR="00BE4F06" w:rsidRDefault="00BE4F06" w:rsidP="00BE4F06">
      <w:pPr>
        <w:spacing w:after="4" w:line="250" w:lineRule="auto"/>
        <w:jc w:val="both"/>
        <w:rPr>
          <w:rFonts w:ascii="Arial" w:hAnsi="Arial" w:cs="Arial"/>
          <w:color w:val="000000"/>
          <w:kern w:val="0"/>
        </w:rPr>
      </w:pPr>
    </w:p>
    <w:p w14:paraId="7FF51D17" w14:textId="77777777"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u w:val="single"/>
        </w:rPr>
        <w:t>Acreditación</w:t>
      </w:r>
      <w:r w:rsidRPr="00BE4F06">
        <w:rPr>
          <w:rFonts w:ascii="Arial" w:hAnsi="Arial" w:cs="Arial"/>
          <w:color w:val="000000"/>
          <w:kern w:val="0"/>
        </w:rPr>
        <w:t xml:space="preserve">: Copia de documentos que sustenten la propiedad, la posesión, el compromiso de compraventa o alquiler u otro documento que acredite la disponibilidad del equipamiento estratégico requerido. </w:t>
      </w:r>
    </w:p>
    <w:p w14:paraId="70F2F98F" w14:textId="77777777" w:rsidR="00BE4F06" w:rsidRDefault="00BE4F06" w:rsidP="00BE4F06">
      <w:pPr>
        <w:spacing w:after="4" w:line="250" w:lineRule="auto"/>
        <w:jc w:val="both"/>
        <w:rPr>
          <w:rFonts w:ascii="Arial" w:hAnsi="Arial" w:cs="Arial"/>
          <w:color w:val="000000"/>
          <w:kern w:val="0"/>
        </w:rPr>
      </w:pPr>
    </w:p>
    <w:p w14:paraId="21D441AE" w14:textId="77777777" w:rsidR="00BE4F06" w:rsidRDefault="00BE4F06" w:rsidP="00BE4F06">
      <w:pPr>
        <w:spacing w:after="4" w:line="250" w:lineRule="auto"/>
        <w:jc w:val="both"/>
        <w:rPr>
          <w:rFonts w:ascii="Arial" w:hAnsi="Arial" w:cs="Arial"/>
          <w:color w:val="000000"/>
          <w:kern w:val="0"/>
        </w:rPr>
      </w:pPr>
      <w:r w:rsidRPr="00BE4F06">
        <w:rPr>
          <w:rFonts w:ascii="Arial" w:hAnsi="Arial" w:cs="Arial"/>
          <w:b/>
          <w:bCs/>
          <w:color w:val="000000"/>
          <w:kern w:val="0"/>
        </w:rPr>
        <w:t>B. EXPERIENCIA DEL POSTOR EN LA ESPECIALIDAD</w:t>
      </w:r>
      <w:r w:rsidRPr="00BE4F06">
        <w:rPr>
          <w:rFonts w:ascii="Arial" w:hAnsi="Arial" w:cs="Arial"/>
          <w:color w:val="000000"/>
          <w:kern w:val="0"/>
        </w:rPr>
        <w:t xml:space="preserve"> </w:t>
      </w:r>
    </w:p>
    <w:p w14:paraId="7D8FB9BC" w14:textId="77777777"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rPr>
        <w:t xml:space="preserve">El postor debe acreditar un monto facturado equivalente a S/ 15,000.00 (quince mil y 00/100 soles), por la contratación de servicios iguales o similares al objeto de la convocatoria, durante los ocho (8) años anteriores a la fecha de la presentación de ofertas que se computarán desde la fecha de la conformidad o emisión del comprobante de pago, según corresponda. </w:t>
      </w:r>
    </w:p>
    <w:p w14:paraId="4BF0B55B" w14:textId="77777777" w:rsidR="00BE4F06" w:rsidRDefault="00BE4F06" w:rsidP="00BE4F06">
      <w:pPr>
        <w:spacing w:after="4" w:line="250" w:lineRule="auto"/>
        <w:jc w:val="both"/>
        <w:rPr>
          <w:rFonts w:ascii="Arial" w:hAnsi="Arial" w:cs="Arial"/>
          <w:color w:val="000000"/>
          <w:kern w:val="0"/>
        </w:rPr>
      </w:pPr>
    </w:p>
    <w:p w14:paraId="43458D2F" w14:textId="77777777"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rPr>
        <w:t xml:space="preserve">Se consideran actividades similares a los siguientes: Instalación y/o mantenimiento de redes de distribución eléctrica o tableros eléctricos y/o Supervisión de sistemas de utilización y/o mantenimiento de transformadores. </w:t>
      </w:r>
    </w:p>
    <w:p w14:paraId="41D138DF" w14:textId="77777777" w:rsidR="00BE4F06" w:rsidRDefault="00BE4F06" w:rsidP="00BE4F06">
      <w:pPr>
        <w:spacing w:after="4" w:line="250" w:lineRule="auto"/>
        <w:jc w:val="both"/>
        <w:rPr>
          <w:rFonts w:ascii="Arial" w:hAnsi="Arial" w:cs="Arial"/>
          <w:color w:val="000000"/>
          <w:kern w:val="0"/>
        </w:rPr>
      </w:pPr>
    </w:p>
    <w:p w14:paraId="4460AC7D" w14:textId="77777777"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u w:val="single"/>
        </w:rPr>
        <w:t>Acreditación</w:t>
      </w:r>
      <w:r w:rsidRPr="00BE4F06">
        <w:rPr>
          <w:rFonts w:ascii="Arial" w:hAnsi="Arial" w:cs="Arial"/>
          <w:color w:val="000000"/>
          <w:kern w:val="0"/>
        </w:rPr>
        <w:t>: La experiencia del postor en la especialidad se acreditará con copia simple de (i) contratos u órdenes de servicios, y su respectiva conformidad o constancia de prestación; o (</w:t>
      </w:r>
      <w:proofErr w:type="spellStart"/>
      <w:r w:rsidRPr="00BE4F06">
        <w:rPr>
          <w:rFonts w:ascii="Arial" w:hAnsi="Arial" w:cs="Arial"/>
          <w:color w:val="000000"/>
          <w:kern w:val="0"/>
        </w:rPr>
        <w:t>ii</w:t>
      </w:r>
      <w:proofErr w:type="spellEnd"/>
      <w:r w:rsidRPr="00BE4F06">
        <w:rPr>
          <w:rFonts w:ascii="Arial" w:hAnsi="Arial" w:cs="Arial"/>
          <w:color w:val="000000"/>
          <w:kern w:val="0"/>
        </w:rPr>
        <w:t xml:space="preserve">) comprobantes de pago cuya cancelación se acredite documental y </w:t>
      </w:r>
      <w:r w:rsidRPr="00BE4F06">
        <w:rPr>
          <w:rFonts w:ascii="Arial" w:hAnsi="Arial" w:cs="Arial"/>
          <w:color w:val="000000"/>
          <w:kern w:val="0"/>
        </w:rPr>
        <w:lastRenderedPageBreak/>
        <w:t xml:space="preserve">fehacientemente, con Boucher de depósito, nota de abono, reporte de estado de cuenta, cualquier otro documento emitido por Entidad del sistema financiero que acredite el abono o mediante cancelación en el mismo comprobante de pago , correspondientes a un máximo de veinte (20) contrataciones. </w:t>
      </w:r>
    </w:p>
    <w:p w14:paraId="088AD62F" w14:textId="77777777" w:rsidR="00BE4F06" w:rsidRDefault="00BE4F06" w:rsidP="00BE4F06">
      <w:pPr>
        <w:spacing w:after="4" w:line="250" w:lineRule="auto"/>
        <w:jc w:val="both"/>
        <w:rPr>
          <w:rFonts w:ascii="Arial" w:hAnsi="Arial" w:cs="Arial"/>
          <w:color w:val="000000"/>
          <w:kern w:val="0"/>
        </w:rPr>
      </w:pPr>
    </w:p>
    <w:p w14:paraId="6E1B366F" w14:textId="77777777"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En el caso de servicios de ejecución periódica o continuada, solo se considera como experiencia la parte del contrato que haya sido ejecutada a la fecha de presentación de ofertas, debiendo adjuntarse copia de las conformidades correspondientes a tal parte o los respectivos comprobantes de pago cancelados. </w:t>
      </w:r>
    </w:p>
    <w:p w14:paraId="2D29C3DE" w14:textId="77777777" w:rsidR="00BE4F06" w:rsidRDefault="00BE4F06" w:rsidP="00BE4F06">
      <w:pPr>
        <w:spacing w:after="4" w:line="250" w:lineRule="auto"/>
        <w:jc w:val="both"/>
        <w:rPr>
          <w:rFonts w:ascii="Arial" w:hAnsi="Arial" w:cs="Arial"/>
          <w:color w:val="000000"/>
          <w:kern w:val="0"/>
        </w:rPr>
      </w:pPr>
    </w:p>
    <w:p w14:paraId="1694E1F2" w14:textId="77777777"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rPr>
        <w:t xml:space="preserve">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 </w:t>
      </w:r>
    </w:p>
    <w:p w14:paraId="44F00DBB" w14:textId="77777777" w:rsidR="00BE4F06" w:rsidRDefault="00BE4F06" w:rsidP="00BE4F06">
      <w:pPr>
        <w:spacing w:after="4" w:line="250" w:lineRule="auto"/>
        <w:jc w:val="both"/>
        <w:rPr>
          <w:rFonts w:ascii="Arial" w:hAnsi="Arial" w:cs="Arial"/>
          <w:color w:val="000000"/>
          <w:kern w:val="0"/>
        </w:rPr>
      </w:pPr>
    </w:p>
    <w:p w14:paraId="19BD383F" w14:textId="71BA2E95"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rPr>
        <w:t xml:space="preserve">Asimismo, cuando se presenten contratos derivados de procesos de selección convocados antes del 20.09.2012, la calificación se ceñirá al presumirse que el porcentaje de las obligaciones equivale al porcentaje de participación de la promesa de consorcio o del contrato de consorcio. </w:t>
      </w:r>
      <w:r w:rsidR="00BF3A79" w:rsidRPr="00BE4F06">
        <w:rPr>
          <w:rFonts w:ascii="Arial" w:hAnsi="Arial" w:cs="Arial"/>
          <w:color w:val="000000"/>
          <w:kern w:val="0"/>
        </w:rPr>
        <w:t>En caso de que</w:t>
      </w:r>
      <w:r w:rsidRPr="00BE4F06">
        <w:rPr>
          <w:rFonts w:ascii="Arial" w:hAnsi="Arial" w:cs="Arial"/>
          <w:color w:val="000000"/>
          <w:kern w:val="0"/>
        </w:rPr>
        <w:t xml:space="preserve"> en dichos documentos no se consigne el porcentaje de participación se presumirá que las obligaciones se ejecutaron en partes iguales. </w:t>
      </w:r>
    </w:p>
    <w:p w14:paraId="6EDF057E" w14:textId="77777777" w:rsidR="00BE4F06" w:rsidRDefault="00BE4F06" w:rsidP="00BE4F06">
      <w:pPr>
        <w:spacing w:after="4" w:line="250" w:lineRule="auto"/>
        <w:jc w:val="both"/>
        <w:rPr>
          <w:rFonts w:ascii="Arial" w:hAnsi="Arial" w:cs="Arial"/>
          <w:color w:val="000000"/>
          <w:kern w:val="0"/>
        </w:rPr>
      </w:pPr>
    </w:p>
    <w:p w14:paraId="1ECB2039" w14:textId="3BBB0368" w:rsidR="00BE4F06" w:rsidRDefault="00BE4F06" w:rsidP="00BE4F06">
      <w:pPr>
        <w:spacing w:after="4" w:line="250" w:lineRule="auto"/>
        <w:jc w:val="both"/>
        <w:rPr>
          <w:rFonts w:ascii="Arial" w:hAnsi="Arial" w:cs="Arial"/>
          <w:color w:val="000000"/>
          <w:kern w:val="0"/>
        </w:rPr>
      </w:pPr>
      <w:r w:rsidRPr="00BE4F06">
        <w:rPr>
          <w:rFonts w:ascii="Arial" w:hAnsi="Arial" w:cs="Arial"/>
          <w:color w:val="000000"/>
          <w:kern w:val="0"/>
        </w:rPr>
        <w:t xml:space="preserve">Si el titular de la experiencia no es el postor, consignar si dicha experiencia corresponde a la matriz </w:t>
      </w:r>
      <w:r w:rsidRPr="00BE4F06">
        <w:rPr>
          <w:rFonts w:ascii="Arial" w:hAnsi="Arial" w:cs="Arial"/>
          <w:color w:val="000000"/>
          <w:kern w:val="0"/>
        </w:rPr>
        <w:t>en caso de que</w:t>
      </w:r>
      <w:r w:rsidRPr="00BE4F06">
        <w:rPr>
          <w:rFonts w:ascii="Arial" w:hAnsi="Arial" w:cs="Arial"/>
          <w:color w:val="000000"/>
          <w:kern w:val="0"/>
        </w:rPr>
        <w:t xml:space="preserve"> el postor sea sucursal, o fue transmitida por reorganización societaria, debiendo acompañar la documentación sustentadora correspondiente. </w:t>
      </w:r>
    </w:p>
    <w:p w14:paraId="20BED8D9" w14:textId="77777777" w:rsidR="00BE4F06" w:rsidRDefault="00BE4F06" w:rsidP="00BE4F06">
      <w:pPr>
        <w:spacing w:after="4" w:line="250" w:lineRule="auto"/>
        <w:jc w:val="both"/>
        <w:rPr>
          <w:rFonts w:ascii="Arial" w:hAnsi="Arial" w:cs="Arial"/>
          <w:color w:val="000000"/>
          <w:kern w:val="0"/>
        </w:rPr>
      </w:pPr>
    </w:p>
    <w:p w14:paraId="72C49AAC" w14:textId="719FF675" w:rsidR="0023374C" w:rsidRPr="00956639" w:rsidRDefault="00BE4F06" w:rsidP="00BE4F06">
      <w:pPr>
        <w:spacing w:after="4" w:line="250" w:lineRule="auto"/>
        <w:jc w:val="both"/>
        <w:rPr>
          <w:rFonts w:ascii="Arial" w:hAnsi="Arial" w:cs="Arial"/>
          <w:color w:val="000000"/>
          <w:kern w:val="0"/>
        </w:rPr>
      </w:pPr>
      <w:r w:rsidRPr="00BE4F06">
        <w:rPr>
          <w:rFonts w:ascii="Arial" w:hAnsi="Arial" w:cs="Arial"/>
          <w:color w:val="000000"/>
          <w:kern w:val="0"/>
        </w:rPr>
        <w:t>Cuando en los contratos, órdenes de servicios o comprobantes de pago el monto facturado se encuentre expresado en moneda extranjera, debe indicarse el tipo de cambio venta publicada por la Superintendencia de Banca, Seguros y AFP correspondiente a la fecha de suscripción del contrato, de emisión de la orden de servicios o de cancelación del comprobante de pago, según corresponda.</w:t>
      </w:r>
    </w:p>
    <w:sectPr w:rsidR="0023374C" w:rsidRPr="009566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6D17A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D561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A73CD2"/>
    <w:multiLevelType w:val="hybridMultilevel"/>
    <w:tmpl w:val="EA507EE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05BD5F4A"/>
    <w:multiLevelType w:val="hybridMultilevel"/>
    <w:tmpl w:val="56149AAE"/>
    <w:lvl w:ilvl="0" w:tplc="ADBCB4A2">
      <w:start w:val="1"/>
      <w:numFmt w:val="bullet"/>
      <w:lvlText w:val=""/>
      <w:lvlJc w:val="left"/>
      <w:pPr>
        <w:ind w:left="1088" w:hanging="360"/>
      </w:pPr>
      <w:rPr>
        <w:rFonts w:ascii="Wingdings" w:hAnsi="Wingdings" w:hint="default"/>
        <w:b/>
        <w:bCs/>
      </w:rPr>
    </w:lvl>
    <w:lvl w:ilvl="1" w:tplc="280A0003" w:tentative="1">
      <w:start w:val="1"/>
      <w:numFmt w:val="bullet"/>
      <w:lvlText w:val="o"/>
      <w:lvlJc w:val="left"/>
      <w:pPr>
        <w:ind w:left="1808" w:hanging="360"/>
      </w:pPr>
      <w:rPr>
        <w:rFonts w:ascii="Courier New" w:hAnsi="Courier New" w:cs="Courier New" w:hint="default"/>
      </w:rPr>
    </w:lvl>
    <w:lvl w:ilvl="2" w:tplc="280A0005" w:tentative="1">
      <w:start w:val="1"/>
      <w:numFmt w:val="bullet"/>
      <w:lvlText w:val=""/>
      <w:lvlJc w:val="left"/>
      <w:pPr>
        <w:ind w:left="2528" w:hanging="360"/>
      </w:pPr>
      <w:rPr>
        <w:rFonts w:ascii="Wingdings" w:hAnsi="Wingdings" w:hint="default"/>
      </w:rPr>
    </w:lvl>
    <w:lvl w:ilvl="3" w:tplc="280A0001" w:tentative="1">
      <w:start w:val="1"/>
      <w:numFmt w:val="bullet"/>
      <w:lvlText w:val=""/>
      <w:lvlJc w:val="left"/>
      <w:pPr>
        <w:ind w:left="3248" w:hanging="360"/>
      </w:pPr>
      <w:rPr>
        <w:rFonts w:ascii="Symbol" w:hAnsi="Symbol" w:hint="default"/>
      </w:rPr>
    </w:lvl>
    <w:lvl w:ilvl="4" w:tplc="280A0003" w:tentative="1">
      <w:start w:val="1"/>
      <w:numFmt w:val="bullet"/>
      <w:lvlText w:val="o"/>
      <w:lvlJc w:val="left"/>
      <w:pPr>
        <w:ind w:left="3968" w:hanging="360"/>
      </w:pPr>
      <w:rPr>
        <w:rFonts w:ascii="Courier New" w:hAnsi="Courier New" w:cs="Courier New" w:hint="default"/>
      </w:rPr>
    </w:lvl>
    <w:lvl w:ilvl="5" w:tplc="280A0005" w:tentative="1">
      <w:start w:val="1"/>
      <w:numFmt w:val="bullet"/>
      <w:lvlText w:val=""/>
      <w:lvlJc w:val="left"/>
      <w:pPr>
        <w:ind w:left="4688" w:hanging="360"/>
      </w:pPr>
      <w:rPr>
        <w:rFonts w:ascii="Wingdings" w:hAnsi="Wingdings" w:hint="default"/>
      </w:rPr>
    </w:lvl>
    <w:lvl w:ilvl="6" w:tplc="280A0001" w:tentative="1">
      <w:start w:val="1"/>
      <w:numFmt w:val="bullet"/>
      <w:lvlText w:val=""/>
      <w:lvlJc w:val="left"/>
      <w:pPr>
        <w:ind w:left="5408" w:hanging="360"/>
      </w:pPr>
      <w:rPr>
        <w:rFonts w:ascii="Symbol" w:hAnsi="Symbol" w:hint="default"/>
      </w:rPr>
    </w:lvl>
    <w:lvl w:ilvl="7" w:tplc="280A0003" w:tentative="1">
      <w:start w:val="1"/>
      <w:numFmt w:val="bullet"/>
      <w:lvlText w:val="o"/>
      <w:lvlJc w:val="left"/>
      <w:pPr>
        <w:ind w:left="6128" w:hanging="360"/>
      </w:pPr>
      <w:rPr>
        <w:rFonts w:ascii="Courier New" w:hAnsi="Courier New" w:cs="Courier New" w:hint="default"/>
      </w:rPr>
    </w:lvl>
    <w:lvl w:ilvl="8" w:tplc="280A0005" w:tentative="1">
      <w:start w:val="1"/>
      <w:numFmt w:val="bullet"/>
      <w:lvlText w:val=""/>
      <w:lvlJc w:val="left"/>
      <w:pPr>
        <w:ind w:left="6848" w:hanging="360"/>
      </w:pPr>
      <w:rPr>
        <w:rFonts w:ascii="Wingdings" w:hAnsi="Wingdings" w:hint="default"/>
      </w:rPr>
    </w:lvl>
  </w:abstractNum>
  <w:abstractNum w:abstractNumId="4" w15:restartNumberingAfterBreak="0">
    <w:nsid w:val="06F625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D45410D"/>
    <w:multiLevelType w:val="hybridMultilevel"/>
    <w:tmpl w:val="35625476"/>
    <w:lvl w:ilvl="0" w:tplc="16D2CC18">
      <w:numFmt w:val="bullet"/>
      <w:lvlText w:val="•"/>
      <w:lvlJc w:val="left"/>
      <w:pPr>
        <w:ind w:left="1080" w:hanging="360"/>
      </w:pPr>
      <w:rPr>
        <w:rFonts w:ascii="Arial" w:eastAsia="Arial" w:hAnsi="Arial" w:cs="Arial" w:hint="default"/>
        <w:b/>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6" w15:restartNumberingAfterBreak="0">
    <w:nsid w:val="0E4E049B"/>
    <w:multiLevelType w:val="hybridMultilevel"/>
    <w:tmpl w:val="BBFC3DDC"/>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11813FE3"/>
    <w:multiLevelType w:val="hybridMultilevel"/>
    <w:tmpl w:val="6EA89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8FF1A2F"/>
    <w:multiLevelType w:val="hybridMultilevel"/>
    <w:tmpl w:val="84B0E6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FCC31A7"/>
    <w:multiLevelType w:val="hybridMultilevel"/>
    <w:tmpl w:val="02446B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4032C99"/>
    <w:multiLevelType w:val="hybridMultilevel"/>
    <w:tmpl w:val="6A4EBFC8"/>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5AA40ADB"/>
    <w:multiLevelType w:val="hybridMultilevel"/>
    <w:tmpl w:val="D20CABE0"/>
    <w:lvl w:ilvl="0" w:tplc="F8546764">
      <w:start w:val="1"/>
      <w:numFmt w:val="upp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3" w15:restartNumberingAfterBreak="0">
    <w:nsid w:val="5F4B0F40"/>
    <w:multiLevelType w:val="hybridMultilevel"/>
    <w:tmpl w:val="93F0F2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FB36386"/>
    <w:multiLevelType w:val="hybridMultilevel"/>
    <w:tmpl w:val="92203B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7595209F"/>
    <w:multiLevelType w:val="multilevel"/>
    <w:tmpl w:val="A12EE73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FA70F6D"/>
    <w:multiLevelType w:val="hybridMultilevel"/>
    <w:tmpl w:val="0C88FE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567448267">
    <w:abstractNumId w:val="3"/>
  </w:num>
  <w:num w:numId="2" w16cid:durableId="1368143916">
    <w:abstractNumId w:val="15"/>
  </w:num>
  <w:num w:numId="3" w16cid:durableId="1116481175">
    <w:abstractNumId w:val="8"/>
  </w:num>
  <w:num w:numId="4" w16cid:durableId="499200532">
    <w:abstractNumId w:val="4"/>
  </w:num>
  <w:num w:numId="5" w16cid:durableId="2042706236">
    <w:abstractNumId w:val="2"/>
  </w:num>
  <w:num w:numId="6" w16cid:durableId="1295796530">
    <w:abstractNumId w:val="11"/>
  </w:num>
  <w:num w:numId="7" w16cid:durableId="948662643">
    <w:abstractNumId w:val="0"/>
  </w:num>
  <w:num w:numId="8" w16cid:durableId="1519543052">
    <w:abstractNumId w:val="1"/>
  </w:num>
  <w:num w:numId="9" w16cid:durableId="1622344280">
    <w:abstractNumId w:val="14"/>
  </w:num>
  <w:num w:numId="10" w16cid:durableId="159926937">
    <w:abstractNumId w:val="9"/>
  </w:num>
  <w:num w:numId="11" w16cid:durableId="143016070">
    <w:abstractNumId w:val="6"/>
  </w:num>
  <w:num w:numId="12" w16cid:durableId="48043219">
    <w:abstractNumId w:val="5"/>
  </w:num>
  <w:num w:numId="13" w16cid:durableId="729351741">
    <w:abstractNumId w:val="12"/>
  </w:num>
  <w:num w:numId="14" w16cid:durableId="634677477">
    <w:abstractNumId w:val="13"/>
  </w:num>
  <w:num w:numId="15" w16cid:durableId="538202060">
    <w:abstractNumId w:val="16"/>
  </w:num>
  <w:num w:numId="16" w16cid:durableId="1712993534">
    <w:abstractNumId w:val="10"/>
  </w:num>
  <w:num w:numId="17" w16cid:durableId="19319657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36"/>
    <w:rsid w:val="00067B68"/>
    <w:rsid w:val="00072D25"/>
    <w:rsid w:val="00085EE1"/>
    <w:rsid w:val="00097008"/>
    <w:rsid w:val="000C3C4F"/>
    <w:rsid w:val="000F58B3"/>
    <w:rsid w:val="001043C3"/>
    <w:rsid w:val="0023374C"/>
    <w:rsid w:val="0025054C"/>
    <w:rsid w:val="00381E43"/>
    <w:rsid w:val="004B4781"/>
    <w:rsid w:val="00596507"/>
    <w:rsid w:val="00715AA5"/>
    <w:rsid w:val="00855D97"/>
    <w:rsid w:val="008D292A"/>
    <w:rsid w:val="00925B4D"/>
    <w:rsid w:val="00956639"/>
    <w:rsid w:val="009B439F"/>
    <w:rsid w:val="00A8693A"/>
    <w:rsid w:val="00BA496B"/>
    <w:rsid w:val="00BE4F06"/>
    <w:rsid w:val="00BE6F9E"/>
    <w:rsid w:val="00BF3A79"/>
    <w:rsid w:val="00C676E3"/>
    <w:rsid w:val="00DA6BBB"/>
    <w:rsid w:val="00E34803"/>
    <w:rsid w:val="00E368B6"/>
    <w:rsid w:val="00E462DA"/>
    <w:rsid w:val="00EB3346"/>
    <w:rsid w:val="00F15AA8"/>
    <w:rsid w:val="00F91A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22EF"/>
  <w15:chartTrackingRefBased/>
  <w15:docId w15:val="{BA1BC78E-6AA0-4EC0-8257-BD3E5D5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1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1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1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1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1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1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1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1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1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1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1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A36"/>
    <w:rPr>
      <w:rFonts w:eastAsiaTheme="majorEastAsia" w:cstheme="majorBidi"/>
      <w:color w:val="272727" w:themeColor="text1" w:themeTint="D8"/>
    </w:rPr>
  </w:style>
  <w:style w:type="paragraph" w:styleId="Ttulo">
    <w:name w:val="Title"/>
    <w:basedOn w:val="Normal"/>
    <w:next w:val="Normal"/>
    <w:link w:val="TtuloCar"/>
    <w:uiPriority w:val="10"/>
    <w:qFormat/>
    <w:rsid w:val="00F91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A36"/>
    <w:pPr>
      <w:spacing w:before="160"/>
      <w:jc w:val="center"/>
    </w:pPr>
    <w:rPr>
      <w:i/>
      <w:iCs/>
      <w:color w:val="404040" w:themeColor="text1" w:themeTint="BF"/>
    </w:rPr>
  </w:style>
  <w:style w:type="character" w:customStyle="1" w:styleId="CitaCar">
    <w:name w:val="Cita Car"/>
    <w:basedOn w:val="Fuentedeprrafopredeter"/>
    <w:link w:val="Cita"/>
    <w:uiPriority w:val="29"/>
    <w:rsid w:val="00F91A36"/>
    <w:rPr>
      <w:i/>
      <w:iCs/>
      <w:color w:val="404040" w:themeColor="text1" w:themeTint="BF"/>
    </w:rPr>
  </w:style>
  <w:style w:type="paragraph" w:styleId="Prrafodelista">
    <w:name w:val="List Paragraph"/>
    <w:basedOn w:val="Normal"/>
    <w:uiPriority w:val="34"/>
    <w:qFormat/>
    <w:rsid w:val="00F91A36"/>
    <w:pPr>
      <w:ind w:left="720"/>
      <w:contextualSpacing/>
    </w:pPr>
  </w:style>
  <w:style w:type="character" w:styleId="nfasisintenso">
    <w:name w:val="Intense Emphasis"/>
    <w:basedOn w:val="Fuentedeprrafopredeter"/>
    <w:uiPriority w:val="21"/>
    <w:qFormat/>
    <w:rsid w:val="00F91A36"/>
    <w:rPr>
      <w:i/>
      <w:iCs/>
      <w:color w:val="2F5496" w:themeColor="accent1" w:themeShade="BF"/>
    </w:rPr>
  </w:style>
  <w:style w:type="paragraph" w:styleId="Citadestacada">
    <w:name w:val="Intense Quote"/>
    <w:basedOn w:val="Normal"/>
    <w:next w:val="Normal"/>
    <w:link w:val="CitadestacadaCar"/>
    <w:uiPriority w:val="30"/>
    <w:qFormat/>
    <w:rsid w:val="00F91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1A36"/>
    <w:rPr>
      <w:i/>
      <w:iCs/>
      <w:color w:val="2F5496" w:themeColor="accent1" w:themeShade="BF"/>
    </w:rPr>
  </w:style>
  <w:style w:type="character" w:styleId="Referenciaintensa">
    <w:name w:val="Intense Reference"/>
    <w:basedOn w:val="Fuentedeprrafopredeter"/>
    <w:uiPriority w:val="32"/>
    <w:qFormat/>
    <w:rsid w:val="00F91A36"/>
    <w:rPr>
      <w:b/>
      <w:bCs/>
      <w:smallCaps/>
      <w:color w:val="2F5496" w:themeColor="accent1" w:themeShade="BF"/>
      <w:spacing w:val="5"/>
    </w:rPr>
  </w:style>
  <w:style w:type="paragraph" w:customStyle="1" w:styleId="Default">
    <w:name w:val="Default"/>
    <w:rsid w:val="00381E4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Sinespaciado">
    <w:name w:val="No Spacing"/>
    <w:uiPriority w:val="1"/>
    <w:qFormat/>
    <w:rsid w:val="00855D97"/>
    <w:pPr>
      <w:spacing w:after="0" w:line="240" w:lineRule="auto"/>
    </w:pPr>
    <w:rPr>
      <w:kern w:val="0"/>
      <w14:ligatures w14:val="none"/>
    </w:rPr>
  </w:style>
  <w:style w:type="paragraph" w:styleId="Textoindependiente">
    <w:name w:val="Body Text"/>
    <w:basedOn w:val="Normal"/>
    <w:link w:val="TextoindependienteCar"/>
    <w:unhideWhenUsed/>
    <w:rsid w:val="00925B4D"/>
    <w:pPr>
      <w:spacing w:after="0" w:line="240" w:lineRule="auto"/>
      <w:jc w:val="right"/>
    </w:pPr>
    <w:rPr>
      <w:rFonts w:ascii="Times New Roman" w:eastAsia="Times New Roman" w:hAnsi="Times New Roman" w:cs="Times New Roman"/>
      <w:kern w:val="0"/>
      <w:sz w:val="20"/>
      <w:szCs w:val="20"/>
      <w:lang w:val="es-ES" w:eastAsia="es-ES"/>
      <w14:ligatures w14:val="none"/>
    </w:rPr>
  </w:style>
  <w:style w:type="character" w:customStyle="1" w:styleId="TextoindependienteCar">
    <w:name w:val="Texto independiente Car"/>
    <w:basedOn w:val="Fuentedeprrafopredeter"/>
    <w:link w:val="Textoindependiente"/>
    <w:rsid w:val="00925B4D"/>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780</Words>
  <Characters>4291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Office</cp:lastModifiedBy>
  <cp:revision>15</cp:revision>
  <dcterms:created xsi:type="dcterms:W3CDTF">2025-05-22T13:29:00Z</dcterms:created>
  <dcterms:modified xsi:type="dcterms:W3CDTF">2025-07-31T16:25:00Z</dcterms:modified>
</cp:coreProperties>
</file>