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9B469" w14:textId="77777777" w:rsidR="008F67D4" w:rsidRPr="004B4CEE" w:rsidRDefault="008F67D4" w:rsidP="008F67D4">
      <w:pPr>
        <w:jc w:val="center"/>
        <w:rPr>
          <w:rFonts w:ascii="Arial" w:hAnsi="Arial" w:cs="Arial"/>
          <w:b/>
          <w:bCs/>
          <w:sz w:val="20"/>
          <w:szCs w:val="20"/>
          <w:lang w:val="pt-BR"/>
        </w:rPr>
      </w:pPr>
      <w:bookmarkStart w:id="0" w:name="_Hlk147852264"/>
      <w:bookmarkStart w:id="1" w:name="_Hlk10812250"/>
      <w:bookmarkStart w:id="2" w:name="_GoBack"/>
      <w:bookmarkEnd w:id="2"/>
      <w:r w:rsidRPr="004B4CEE">
        <w:rPr>
          <w:rFonts w:ascii="Arial" w:hAnsi="Arial" w:cs="Arial"/>
          <w:b/>
          <w:bCs/>
          <w:sz w:val="20"/>
          <w:szCs w:val="20"/>
          <w:lang w:val="pt-BR"/>
        </w:rPr>
        <w:t>ANEXO N° 16</w:t>
      </w:r>
    </w:p>
    <w:p w14:paraId="2F7B18DB" w14:textId="77777777" w:rsidR="008F67D4" w:rsidRDefault="008F67D4" w:rsidP="008F67D4">
      <w:pPr>
        <w:spacing w:after="0" w:line="240" w:lineRule="auto"/>
        <w:contextualSpacing/>
        <w:jc w:val="center"/>
        <w:rPr>
          <w:rFonts w:ascii="Arial Narrow" w:hAnsi="Arial Narrow"/>
          <w:b/>
          <w:bCs/>
          <w:sz w:val="24"/>
          <w:szCs w:val="24"/>
        </w:rPr>
      </w:pPr>
      <w:r w:rsidRPr="002B1727">
        <w:rPr>
          <w:rFonts w:ascii="Arial Narrow" w:hAnsi="Arial Narrow"/>
          <w:b/>
          <w:bCs/>
          <w:sz w:val="24"/>
          <w:szCs w:val="24"/>
        </w:rPr>
        <w:t>DECLARACIÓN JURADA DE CUMPLIMIENTO Y/O IMPEDIMENTOS</w:t>
      </w:r>
    </w:p>
    <w:p w14:paraId="5188BA4C" w14:textId="77777777" w:rsidR="002437B7" w:rsidRPr="004B4CEE" w:rsidRDefault="002437B7" w:rsidP="002437B7">
      <w:pPr>
        <w:jc w:val="center"/>
        <w:rPr>
          <w:rFonts w:ascii="Arial" w:hAnsi="Arial" w:cs="Arial"/>
          <w:b/>
          <w:bCs/>
          <w:sz w:val="20"/>
          <w:szCs w:val="20"/>
        </w:rPr>
      </w:pPr>
      <w:r w:rsidRPr="004B4CEE">
        <w:rPr>
          <w:rFonts w:ascii="Arial" w:hAnsi="Arial" w:cs="Arial"/>
          <w:b/>
          <w:bCs/>
          <w:sz w:val="16"/>
          <w:szCs w:val="16"/>
        </w:rPr>
        <w:t>(Base legal Artículo 11° del TUO de la Ley de Contrataciones del Estado)</w:t>
      </w:r>
    </w:p>
    <w:bookmarkEnd w:id="0"/>
    <w:p w14:paraId="207554F0" w14:textId="77777777" w:rsidR="008F67D4" w:rsidRPr="00CC7D0F" w:rsidRDefault="008F67D4" w:rsidP="008F67D4">
      <w:pPr>
        <w:spacing w:after="0" w:line="240" w:lineRule="auto"/>
        <w:contextualSpacing/>
        <w:jc w:val="both"/>
        <w:rPr>
          <w:rFonts w:ascii="Arial Narrow" w:hAnsi="Arial Narrow"/>
          <w:sz w:val="14"/>
          <w:szCs w:val="14"/>
        </w:rPr>
      </w:pPr>
    </w:p>
    <w:p w14:paraId="50484AB0" w14:textId="0B027B64" w:rsidR="008F67D4" w:rsidRDefault="008F67D4" w:rsidP="008F67D4">
      <w:pPr>
        <w:spacing w:after="0" w:line="240" w:lineRule="auto"/>
        <w:contextualSpacing/>
        <w:jc w:val="both"/>
        <w:rPr>
          <w:rFonts w:ascii="Arial Narrow" w:hAnsi="Arial Narrow"/>
          <w:b/>
          <w:bCs/>
          <w:sz w:val="20"/>
          <w:szCs w:val="20"/>
        </w:rPr>
      </w:pPr>
      <w:r w:rsidRPr="00952D2B">
        <w:rPr>
          <w:rFonts w:ascii="Arial Narrow" w:hAnsi="Arial Narrow"/>
          <w:b/>
          <w:bCs/>
          <w:sz w:val="20"/>
          <w:szCs w:val="20"/>
        </w:rPr>
        <w:t xml:space="preserve">SEÑORES </w:t>
      </w:r>
    </w:p>
    <w:p w14:paraId="521212AF" w14:textId="0523E7D5" w:rsidR="0008141F" w:rsidRPr="00952D2B" w:rsidRDefault="0008141F" w:rsidP="008F67D4">
      <w:pPr>
        <w:spacing w:after="0" w:line="240" w:lineRule="auto"/>
        <w:contextualSpacing/>
        <w:jc w:val="both"/>
        <w:rPr>
          <w:rFonts w:ascii="Arial Narrow" w:hAnsi="Arial Narrow"/>
          <w:b/>
          <w:bCs/>
          <w:sz w:val="20"/>
          <w:szCs w:val="20"/>
        </w:rPr>
      </w:pPr>
      <w:r>
        <w:rPr>
          <w:rFonts w:ascii="Arial Narrow" w:hAnsi="Arial Narrow"/>
          <w:b/>
          <w:bCs/>
          <w:sz w:val="20"/>
          <w:szCs w:val="20"/>
        </w:rPr>
        <w:t>DIRECCIÓN REGIONAL AGRARIA AMAZONAS</w:t>
      </w:r>
    </w:p>
    <w:p w14:paraId="00661111" w14:textId="77777777" w:rsidR="008F67D4" w:rsidRPr="00CC7D0F" w:rsidRDefault="008F67D4" w:rsidP="008F67D4">
      <w:pPr>
        <w:spacing w:after="0" w:line="240" w:lineRule="auto"/>
        <w:contextualSpacing/>
        <w:jc w:val="both"/>
        <w:rPr>
          <w:rFonts w:ascii="Arial Narrow" w:hAnsi="Arial Narrow"/>
          <w:sz w:val="12"/>
          <w:szCs w:val="12"/>
        </w:rPr>
      </w:pPr>
    </w:p>
    <w:p w14:paraId="66A96575" w14:textId="77777777" w:rsidR="008F67D4" w:rsidRPr="00CC7D0F" w:rsidRDefault="008F67D4" w:rsidP="008F67D4">
      <w:pPr>
        <w:jc w:val="both"/>
        <w:rPr>
          <w:rFonts w:ascii="Arial Narrow" w:hAnsi="Arial Narrow"/>
          <w:sz w:val="20"/>
          <w:szCs w:val="20"/>
        </w:rPr>
      </w:pPr>
      <w:r w:rsidRPr="00CC7D0F">
        <w:rPr>
          <w:rFonts w:ascii="Arial Narrow" w:hAnsi="Arial Narrow"/>
          <w:sz w:val="20"/>
          <w:szCs w:val="20"/>
        </w:rPr>
        <w:t>Mediante el presente el suscrito, postor y/o Representante Legal de [ CONSIGNAR EN CASO DE SER PERSONA JURIDICA], declaro bajo juramento:</w:t>
      </w:r>
    </w:p>
    <w:p w14:paraId="0BA620C3"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haber incurrido y me obligo a no incurrir en actos de corrupción, así como a respetar el principio de integridad.</w:t>
      </w:r>
    </w:p>
    <w:p w14:paraId="7F437FE0"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impedimento para contratar con el Estado, conforme al Artículo 11°</w:t>
      </w:r>
      <w:r w:rsidRPr="00CC7D0F">
        <w:rPr>
          <w:rStyle w:val="Refdenotaalpie"/>
          <w:rFonts w:ascii="Arial Narrow" w:hAnsi="Arial Narrow"/>
          <w:sz w:val="20"/>
          <w:szCs w:val="20"/>
        </w:rPr>
        <w:footnoteReference w:id="1"/>
      </w:r>
      <w:r w:rsidRPr="00CC7D0F">
        <w:rPr>
          <w:rFonts w:ascii="Arial Narrow" w:hAnsi="Arial Narrow"/>
          <w:sz w:val="20"/>
          <w:szCs w:val="20"/>
        </w:rPr>
        <w:t xml:space="preserve"> del TUO de la Ley de Contrataciones del Estado.</w:t>
      </w:r>
    </w:p>
    <w:p w14:paraId="5B8DA690"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lastRenderedPageBreak/>
        <w:t>Que mi información (en caso que el postor sea persona natural) o la información de la persona jurídica que represento, registrada en el RNP se encuentra actualizada.</w:t>
      </w:r>
    </w:p>
    <w:p w14:paraId="643BDB9F"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Conocer las sanciones contenidas en la Ley de Contrataciones del Estado y su Reglamento, así como las disposiciones aplicables del TUO de la Ley N°27444, Ley del Procedimiento Administrativo General. </w:t>
      </w:r>
    </w:p>
    <w:p w14:paraId="67653F85"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Participar en el presente proceso de contratación en forma independiente sin mediar consulta, comunicación, acuerdo, arreglo o convenio con ningún proveedor; y, conocer las disposiciones del Decreto Legislativo N°1034, Decreto Legislativo que aprueba la Ley de Represión de Conductas Anticompetitivas. </w:t>
      </w:r>
    </w:p>
    <w:p w14:paraId="3242CC93"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Conocer, aceptar y someterme a las bases, condiciones y reglas del procedimiento de contratación.</w:t>
      </w:r>
    </w:p>
    <w:p w14:paraId="47AEF586"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Ser responsable de la veracidad de los documentos e información que presento en el presente procedimiento de contratación.</w:t>
      </w:r>
    </w:p>
    <w:p w14:paraId="1E0DF285"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Comprometerme a mantener la oferta presentada durante el procedimiento de contratación y a perfeccionar el contrato, en caso de resultar ganador del resultado de las indagaciones de mercado realizadas. </w:t>
      </w:r>
    </w:p>
    <w:p w14:paraId="181D8DD1" w14:textId="4245B8E4"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No tener grado de parentesco hasta el cuarto grado de consanguinidad, segundo de afinidad y por razón de matrimonio, con los funcionarios, empleados de confianza y directivos superiores </w:t>
      </w:r>
      <w:r w:rsidR="000C4DE5">
        <w:rPr>
          <w:rFonts w:ascii="Arial Narrow" w:hAnsi="Arial Narrow"/>
          <w:sz w:val="20"/>
          <w:szCs w:val="20"/>
        </w:rPr>
        <w:t>de la DIRECCIÓN REGIONAL AGRARIA AMAZONAS,</w:t>
      </w:r>
      <w:r w:rsidRPr="00CC7D0F">
        <w:rPr>
          <w:rFonts w:ascii="Arial Narrow" w:hAnsi="Arial Narrow"/>
          <w:sz w:val="20"/>
          <w:szCs w:val="20"/>
        </w:rPr>
        <w:t xml:space="preserve"> que gozan con facultad de nombramiento y contratación, o tengan injerencia directa o indirecta en el proceso de contratación. </w:t>
      </w:r>
    </w:p>
    <w:p w14:paraId="40D658ED"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deudas por concepto de alimentos, ya sea por obligaciones alimentarias establecidas en sentencias o ejecutoriadas, o acuerdo conciliatorio con calidad de cosa juzgada, así como tampoco mantener adeudos por pensiones alimentarias devengadas sobre alimentos, que ameriten la inscripción de les suscritos en el Registros de Deudores Alimentarios Morosos.</w:t>
      </w:r>
    </w:p>
    <w:p w14:paraId="7A1E594E"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acreencias o deudas por concepto de reparaciones civiles a favor de personas y del estado, según información actualizada en el Registro de Deudores de Reparaciones Civiles (REDERECI).</w:t>
      </w:r>
    </w:p>
    <w:p w14:paraId="79550409" w14:textId="77777777" w:rsidR="008F67D4" w:rsidRPr="00CC7D0F" w:rsidRDefault="008F67D4" w:rsidP="008F67D4">
      <w:pPr>
        <w:spacing w:after="0" w:line="240" w:lineRule="auto"/>
        <w:contextualSpacing/>
        <w:jc w:val="both"/>
        <w:rPr>
          <w:rFonts w:ascii="Arial Narrow" w:hAnsi="Arial Narrow"/>
          <w:sz w:val="20"/>
          <w:szCs w:val="20"/>
        </w:rPr>
      </w:pPr>
      <w:r w:rsidRPr="00CC7D0F">
        <w:rPr>
          <w:rFonts w:ascii="Arial Narrow" w:hAnsi="Arial Narrow"/>
          <w:sz w:val="20"/>
          <w:szCs w:val="20"/>
        </w:rPr>
        <w:t>Formulo la presente declaración jurada como requisito para efectos del perfeccionamiento del contrato de: ______________________________________________________________________________________________________________________________________________________________________________, por lo que para mayor veracidad del contenido de presente documento cumplo con firmarlo como signo de validez y para lo fines legales correspondientes.</w:t>
      </w:r>
    </w:p>
    <w:p w14:paraId="4D88D377" w14:textId="77777777" w:rsidR="008F67D4" w:rsidRPr="00CC7D0F" w:rsidRDefault="008F67D4" w:rsidP="008F67D4">
      <w:pPr>
        <w:spacing w:after="0" w:line="240" w:lineRule="auto"/>
        <w:contextualSpacing/>
        <w:jc w:val="both"/>
        <w:rPr>
          <w:rFonts w:ascii="Arial Narrow" w:hAnsi="Arial Narrow"/>
          <w:sz w:val="20"/>
          <w:szCs w:val="20"/>
        </w:rPr>
      </w:pPr>
    </w:p>
    <w:p w14:paraId="1525625C" w14:textId="77777777" w:rsidR="008F67D4" w:rsidRPr="00CC7D0F" w:rsidRDefault="008F67D4" w:rsidP="008F67D4">
      <w:pPr>
        <w:autoSpaceDE w:val="0"/>
        <w:autoSpaceDN w:val="0"/>
        <w:adjustRightInd w:val="0"/>
        <w:spacing w:after="0" w:line="360" w:lineRule="auto"/>
        <w:ind w:left="317"/>
        <w:jc w:val="right"/>
        <w:rPr>
          <w:rFonts w:ascii="Arial Narrow" w:hAnsi="Arial Narrow" w:cs="Arial"/>
          <w:bCs/>
          <w:sz w:val="20"/>
          <w:szCs w:val="20"/>
        </w:rPr>
      </w:pPr>
      <w:r w:rsidRPr="00CC7D0F">
        <w:rPr>
          <w:rFonts w:ascii="Arial Narrow" w:hAnsi="Arial Narrow" w:cs="Arial"/>
          <w:bCs/>
          <w:sz w:val="20"/>
          <w:szCs w:val="20"/>
        </w:rPr>
        <w:t>Dado en la ciudad de……………….  a los……..días del mes de………… del 20</w:t>
      </w:r>
      <w:r w:rsidRPr="00CC7D0F">
        <w:rPr>
          <w:rFonts w:ascii="Arial Narrow" w:hAnsi="Arial Narrow" w:cs="Arial"/>
          <w:b/>
          <w:bCs/>
          <w:sz w:val="20"/>
          <w:szCs w:val="20"/>
        </w:rPr>
        <w:t>….</w:t>
      </w:r>
      <w:r w:rsidRPr="00CC7D0F">
        <w:rPr>
          <w:rFonts w:ascii="Arial Narrow" w:hAnsi="Arial Narrow" w:cs="Arial"/>
          <w:bCs/>
          <w:sz w:val="20"/>
          <w:szCs w:val="20"/>
        </w:rPr>
        <w:t>.</w:t>
      </w:r>
    </w:p>
    <w:p w14:paraId="563B2D00" w14:textId="77777777" w:rsidR="008F67D4" w:rsidRPr="00CC7D0F" w:rsidRDefault="008F67D4" w:rsidP="008F67D4">
      <w:pPr>
        <w:spacing w:after="0" w:line="240" w:lineRule="auto"/>
        <w:ind w:right="2833"/>
        <w:contextualSpacing/>
        <w:jc w:val="both"/>
        <w:rPr>
          <w:rFonts w:ascii="Arial Narrow" w:hAnsi="Arial Narrow"/>
          <w:sz w:val="20"/>
          <w:szCs w:val="20"/>
        </w:rPr>
      </w:pPr>
    </w:p>
    <w:p w14:paraId="50DF5B34" w14:textId="77777777" w:rsidR="008F67D4" w:rsidRPr="00CC7D0F" w:rsidRDefault="008F67D4" w:rsidP="008F67D4">
      <w:pPr>
        <w:spacing w:after="0" w:line="240" w:lineRule="auto"/>
        <w:ind w:right="-2"/>
        <w:contextualSpacing/>
        <w:jc w:val="center"/>
        <w:rPr>
          <w:rFonts w:ascii="Arial Narrow" w:hAnsi="Arial Narrow"/>
          <w:sz w:val="20"/>
          <w:szCs w:val="20"/>
        </w:rPr>
      </w:pPr>
      <w:r w:rsidRPr="00CC7D0F">
        <w:rPr>
          <w:rFonts w:ascii="Arial Narrow" w:hAnsi="Arial Narrow"/>
          <w:sz w:val="20"/>
          <w:szCs w:val="20"/>
        </w:rPr>
        <w:t>_______________________________________</w:t>
      </w:r>
    </w:p>
    <w:p w14:paraId="22EB3B4A" w14:textId="77777777" w:rsidR="000841B2" w:rsidRDefault="008F67D4" w:rsidP="008C1E9D">
      <w:pPr>
        <w:spacing w:after="0" w:line="240" w:lineRule="auto"/>
        <w:ind w:right="-2"/>
        <w:contextualSpacing/>
        <w:jc w:val="center"/>
        <w:rPr>
          <w:rFonts w:ascii="Arial Narrow" w:hAnsi="Arial Narrow"/>
          <w:sz w:val="20"/>
          <w:szCs w:val="20"/>
        </w:rPr>
      </w:pPr>
      <w:r w:rsidRPr="00CC7D0F">
        <w:rPr>
          <w:rFonts w:ascii="Arial Narrow" w:hAnsi="Arial Narrow"/>
          <w:sz w:val="20"/>
          <w:szCs w:val="20"/>
        </w:rPr>
        <w:t>Firma y sello</w:t>
      </w:r>
      <w:bookmarkEnd w:id="1"/>
    </w:p>
    <w:sectPr w:rsidR="000841B2" w:rsidSect="0024450C">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86AF8" w14:textId="77777777" w:rsidR="00877C4A" w:rsidRDefault="00877C4A" w:rsidP="00E04E2A">
      <w:pPr>
        <w:spacing w:after="0" w:line="240" w:lineRule="auto"/>
      </w:pPr>
      <w:r>
        <w:separator/>
      </w:r>
    </w:p>
  </w:endnote>
  <w:endnote w:type="continuationSeparator" w:id="0">
    <w:p w14:paraId="1B9651F3" w14:textId="77777777" w:rsidR="00877C4A" w:rsidRDefault="00877C4A"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BA045" w14:textId="77777777" w:rsidR="00877C4A" w:rsidRDefault="00877C4A" w:rsidP="00E04E2A">
      <w:pPr>
        <w:spacing w:after="0" w:line="240" w:lineRule="auto"/>
      </w:pPr>
      <w:r>
        <w:separator/>
      </w:r>
    </w:p>
  </w:footnote>
  <w:footnote w:type="continuationSeparator" w:id="0">
    <w:p w14:paraId="50146C04" w14:textId="77777777" w:rsidR="00877C4A" w:rsidRDefault="00877C4A" w:rsidP="00E04E2A">
      <w:pPr>
        <w:spacing w:after="0" w:line="240" w:lineRule="auto"/>
      </w:pPr>
      <w:r>
        <w:continuationSeparator/>
      </w:r>
    </w:p>
  </w:footnote>
  <w:footnote w:id="1">
    <w:p w14:paraId="48D7667E" w14:textId="77777777" w:rsidR="008F67D4" w:rsidRPr="002B1727" w:rsidRDefault="008F67D4" w:rsidP="008F67D4">
      <w:pPr>
        <w:tabs>
          <w:tab w:val="left" w:pos="284"/>
        </w:tabs>
        <w:ind w:left="709"/>
        <w:contextualSpacing/>
        <w:jc w:val="both"/>
        <w:rPr>
          <w:rFonts w:ascii="Arial" w:hAnsi="Arial" w:cs="Arial"/>
          <w:color w:val="000000" w:themeColor="text1"/>
          <w:sz w:val="12"/>
          <w:szCs w:val="12"/>
        </w:rPr>
      </w:pPr>
      <w:r w:rsidRPr="002B1727">
        <w:rPr>
          <w:rStyle w:val="Refdenotaalpie"/>
          <w:rFonts w:ascii="Arial" w:hAnsi="Arial" w:cs="Arial"/>
          <w:sz w:val="12"/>
          <w:szCs w:val="12"/>
        </w:rPr>
        <w:footnoteRef/>
      </w:r>
      <w:r w:rsidRPr="002B1727">
        <w:rPr>
          <w:rFonts w:ascii="Arial" w:hAnsi="Arial" w:cs="Arial"/>
          <w:sz w:val="12"/>
          <w:szCs w:val="12"/>
        </w:rPr>
        <w:t xml:space="preserve"> </w:t>
      </w:r>
      <w:r w:rsidRPr="002B1727">
        <w:rPr>
          <w:rFonts w:ascii="Arial" w:hAnsi="Arial" w:cs="Arial"/>
          <w:b/>
          <w:bCs/>
          <w:color w:val="000000" w:themeColor="text1"/>
          <w:sz w:val="12"/>
          <w:szCs w:val="12"/>
        </w:rPr>
        <w:t>11.1</w:t>
      </w:r>
      <w:r w:rsidRPr="002B1727">
        <w:rPr>
          <w:rFonts w:ascii="Arial" w:hAnsi="Arial" w:cs="Arial"/>
          <w:color w:val="000000" w:themeColor="text1"/>
          <w:sz w:val="12"/>
          <w:szCs w:val="12"/>
        </w:rPr>
        <w:t xml:space="preserve"> Cualquiera sea el régimen legal de contratación aplicable, están impedidos de ser participantes, postores, contratistas y/o subcontratistas, incluso en las contrataciones a que se refiere el literal a) del artículo 5, las siguientes personas:</w:t>
      </w:r>
    </w:p>
    <w:p w14:paraId="0A83C053"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El Presidente y los Vicepresidentes de la República, los Congresistas de la República los Jueces Supremos de la Corte Suprema de Justicia de la República, los titulares y los miembros del órgano colegiado de los Organismos Constitucionales Autónomos, en todo proceso de contratación mientras ejerzan el cargo y hasta doce (12) meses después de haber dejado el mismo.</w:t>
      </w:r>
    </w:p>
    <w:p w14:paraId="7B75EDBD"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Ministros y Viceministros de Estado en todo proceso de contratación mientras ejerzan el cargo; luego de dejar el cargo, el impedimento establecido para estos subsiste hasta (12) meses después y solo en el ámbito de su sector.</w:t>
      </w:r>
    </w:p>
    <w:p w14:paraId="762E77B3"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Gobernadores, Vicegobernadores y Consejeros de los Gobiernos Regionales. En el caso de los Gobernadores y Vicegobernadores, el impedimento aplica para todo proceso de contratación mientras ejerzan el cargo; luego de dejar el cargo, el impedimento establecido para estos subsiste hasta doce (12) meses después y solo en el ámbito de su competencia territorial.</w:t>
      </w:r>
    </w:p>
    <w:p w14:paraId="6FB2FA99" w14:textId="77777777" w:rsidR="008F67D4" w:rsidRPr="00646FCF" w:rsidRDefault="008F67D4" w:rsidP="008F67D4">
      <w:pPr>
        <w:pStyle w:val="Prrafodelista"/>
        <w:tabs>
          <w:tab w:val="left" w:pos="284"/>
        </w:tabs>
        <w:ind w:left="1134"/>
        <w:jc w:val="both"/>
        <w:rPr>
          <w:rFonts w:ascii="Arial" w:hAnsi="Arial" w:cs="Arial"/>
          <w:color w:val="000000" w:themeColor="text1"/>
          <w:sz w:val="12"/>
          <w:szCs w:val="12"/>
        </w:rPr>
      </w:pPr>
      <w:r w:rsidRPr="00646FCF">
        <w:rPr>
          <w:rFonts w:ascii="Arial" w:hAnsi="Arial" w:cs="Arial"/>
          <w:color w:val="000000" w:themeColor="text1"/>
          <w:sz w:val="12"/>
          <w:szCs w:val="12"/>
        </w:rPr>
        <w:t>En el caso de los Consejeros de los Gobiernos Regionales, el impedimento aplica para todo proceso de contratación en el ámbito de su competencia territorial durante el ejercicio del cargo y hasta doce (12) meses después de haber concluido el mismo.</w:t>
      </w:r>
    </w:p>
    <w:p w14:paraId="4044A110"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Jueces de las Cortes Superiores de Justicia, los Alcaldes y los Regidores. Tratándose de los Jueces de las Cortes Superiores y de los Alcaldes, el impedimento aplica para todo proceso de contratación durante el ejercicio del cargo; luego de dejar el cargo, el impedimento establecido para estos subsiste hasta doce (12) meses después y solo en el ámbito de su competencia territorial. En el caso de los REGIDORES el impedimento aplica para todo proceso de contratación en el ámbito de su competencia territorial, durante el ejercicio del cargo y hasta doce (12) meses después de haber concluido el mismo.</w:t>
      </w:r>
    </w:p>
    <w:p w14:paraId="23E3C8CB"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titulares de instituciones o de organismos públicos del Poder Ejecutivo, los funcionarios públicos, empleados de confianza, servidores públicos con poder de dirección o decisión, según la ley especial de la materia, y los gerentes de las empresas del Estado. El impedimento se aplica para todo proceso de contratación durante el ejercicio del cargo; luego de culminado el mismo hasta doce (12) meses después sólo en la</w:t>
      </w:r>
      <w:r w:rsidRPr="009F4249">
        <w:rPr>
          <w:rFonts w:ascii="Arial" w:hAnsi="Arial" w:cs="Arial"/>
          <w:color w:val="000000" w:themeColor="text1"/>
          <w:sz w:val="12"/>
          <w:szCs w:val="12"/>
        </w:rPr>
        <w:t xml:space="preserve"> entidad a la que pertenecieron. Los directores de las empresas del Estado y los miembros de los Consejos Directivos de los organismos públicos del Poder Ejecutivo se encuentran impedidos en el ámbito de la Entidad a la que pertenecen, mientras ejercen el cargo y hasta doce (12) meses después de haber culminado el mismo.</w:t>
      </w:r>
    </w:p>
    <w:p w14:paraId="749ACF63"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Los servidores públicos no comprendidos en literal anterior, y los trabajadores de las empresas del Estado, en todo proceso de contratación en la Entidad a la que pertenecen, mientras ejercen su función. Luego de haber concluido su función y hasta doce (12) meses después, el impedimento se aplica para los procesos de contratación en la Entidad a la que pertenecieron, siempre que por la función desempeñada dichas personas hayan tenido influencia, poder de decisión, información privilegiada referida a tales procesos o conflicto de intereses.</w:t>
      </w:r>
    </w:p>
    <w:p w14:paraId="7212F948"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proceso de contratación correspondiente, las personas naturales o jurídicas que tengan intervención directa en cualquiera de las siguientes actuaciones: i) determinación de las características técnicas y/o valor referencial o valor estimado, ii) elaboración de documentos del procedimiento de selección, iii) calificación y evaluación de ofertas, y iv) la conformidad de los contratos derivados de dicho procedimiento, salvo en el caso de los contratos de supervisión. Tratándose de personas jurídicas el impedimento le alcanza si la referida intervención se produce a través de personas que se vinculan a esta.</w:t>
      </w:r>
    </w:p>
    <w:p w14:paraId="5CF223C9"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El cónyuge, conviviente o los parientes hasta el segundo grado de consanguinidad o afinidad de las personas señaladas en los literales precedentes, de acuerdo a los siguientes criterios:</w:t>
      </w:r>
    </w:p>
    <w:p w14:paraId="5053ADC3"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a) y b), el impedimento se configura respecto del mismo ámbito y por igual tiempo que los establecidos para cada una de estas;</w:t>
      </w:r>
    </w:p>
    <w:p w14:paraId="353DE037"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c) y d), el impedimento se configura en el ámbito de competencia territorial mientras estas personas ejercen el cargo y hasta doce (12) meses después de concluido;</w:t>
      </w:r>
    </w:p>
    <w:p w14:paraId="21CF77AC"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el literal e), el impedimento se configura en la Entidad a la que pertenecen estas personas mientras ejercen el cargo y hasta doce (12) meses después de concluido;</w:t>
      </w:r>
    </w:p>
    <w:p w14:paraId="2F2EC539"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f) y g), el impedimento tiene el mismo alcance al referido en los citados literales.</w:t>
      </w:r>
    </w:p>
    <w:p w14:paraId="3050D6FA"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establecidos para las personas señaladas en los literales precedentes, las personas jurídicas en las que aquellas tengan o hayan tenido una participación individual o conjunta superior al treinta por ciento (30%) del capital o patrimonio social, dentro de los doce (12) meses anteriores a la convocatoria del respectivo procedimiento de selección.</w:t>
      </w:r>
    </w:p>
    <w:p w14:paraId="2854024C"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 para las personas señaladas en los literales precedentes, las personas jurídicas sin fines de lucro en las que aquellas participen o hayan participado como asociados o miembros de sus consejos directivos, dentro de los doce (12) meses anteriores a la convocatoria del respectivo procedimiento de selección.</w:t>
      </w:r>
    </w:p>
    <w:p w14:paraId="39E8F068"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establecidos para las personas señaladas en los literales precedentes, las personas jurídicas cuyos integrantes de los órganos de administración, apoderados o representantes legales sean las referidas personas. Idéntica prohibición se extiende a las personas naturales que tengan como apoderados o representantes a las citadas personas.</w:t>
      </w:r>
    </w:p>
    <w:p w14:paraId="385B949B"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naturales o jurídicas inhabilitadas o suspendidas para contratar con el Estado.</w:t>
      </w:r>
    </w:p>
    <w:p w14:paraId="2C60DB72"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condenadas, en el país o el extranjero, mediante sentencia consentida o ejecutoriada por delitos de concusión, peculado, corrupción de funcionarios, enriquecimiento ilícito, tráfico de influencias, delitos cometidos en remates o procedimientos de selección, o delitos equivalentes en caso estos hayan sido cometidos en otros países. El impedimento se extiende a las personas que, directamente o a través de sus representantes, hubiesen admitido y/o reconocido la comisión de cualquiera de los delitos antes descritos ante alguna autoridad nacional o extranjera competente.</w:t>
      </w:r>
    </w:p>
    <w:p w14:paraId="1ACF75CA"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jurídicas cuyos representantes legales o personas vinculadas que (i) hubiesen sido condenadas, en el país o el extranjero, mediante sentencia consentida o ejecutoriada por delitos de concusión, peculado, corrupción de funcionarios, enriquecimiento ilícito, tráfico de influencias, delitos cometidos en remates o procedimientos de selección, o delitos equivalentes en caso estos hayan sido cometidos en otros países; o, (ii) directamente o a través de sus representantes, hubiesen admitido y/o reconocido la comisión de cualquiera de los delitos antes descritos ante alguna autoridad nacional o extranjera competente. Tratándose de consorcios, el impedimento se extiende a los representantes legales o personas vinculadas a cualquiera de los integrantes del consorcio.</w:t>
      </w:r>
    </w:p>
    <w:p w14:paraId="23E683E7"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naturales o jurídicas a través de las cuales, por razón de las personas que las representan, las constituyen o participan en su accionariado o cualquier otra circunstancia comprobable se determine que son continuación, derivación, sucesión, o testaferro, de otra persona impedida o inhabilitada, o que</w:t>
      </w:r>
      <w:r w:rsidRPr="002B1727">
        <w:rPr>
          <w:rFonts w:ascii="Arial" w:hAnsi="Arial" w:cs="Arial"/>
          <w:color w:val="000000" w:themeColor="text1"/>
          <w:sz w:val="12"/>
          <w:szCs w:val="12"/>
        </w:rPr>
        <w:t xml:space="preserve"> de alguna manera esta posee su control efectivo, independientemente de la forma jurídica empleada para eludir dicha restricción, tales como fusión, escisión, reorganización, transformación o similares.</w:t>
      </w:r>
    </w:p>
    <w:p w14:paraId="5D5EED43"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un mismo procedimiento de selección las personas naturales o jurídicas que pertenezcan a un mismo grupo económico, conforme se define en el reglamento.</w:t>
      </w:r>
    </w:p>
    <w:p w14:paraId="1DC113F6"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las personas inscritas en el Registro de Deudores de Reparaciones Civiles (REDERECI), sea en nombre propio o a través de persona jurídica en la que sea accionista u otro similar, con excepción de las empresas que cotizan acciones en bolsa.</w:t>
      </w:r>
    </w:p>
    <w:p w14:paraId="13277812" w14:textId="77777777" w:rsidR="008F67D4" w:rsidRPr="002B1727" w:rsidRDefault="008F67D4" w:rsidP="008F67D4">
      <w:pPr>
        <w:pStyle w:val="Prrafodelista"/>
        <w:tabs>
          <w:tab w:val="left" w:pos="284"/>
        </w:tabs>
        <w:ind w:left="1134"/>
        <w:jc w:val="both"/>
        <w:rPr>
          <w:rFonts w:ascii="Arial" w:hAnsi="Arial" w:cs="Arial"/>
          <w:color w:val="000000" w:themeColor="text1"/>
          <w:sz w:val="12"/>
          <w:szCs w:val="12"/>
        </w:rPr>
      </w:pPr>
      <w:r w:rsidRPr="002B1727">
        <w:rPr>
          <w:rFonts w:ascii="Arial" w:hAnsi="Arial" w:cs="Arial"/>
          <w:color w:val="000000" w:themeColor="text1"/>
          <w:sz w:val="12"/>
          <w:szCs w:val="12"/>
        </w:rPr>
        <w:t>Asimismo, las personas inscritas en el Registro Nacional de Abogados Sancionados por Mala Práctica Profesional y en el Registro Nacional de Sanciones de Destitución y Despido, por el tiempo que establezca la ley de la materia; así como en todos los otros registros creados por Ley que impidan contratar con el Estado.</w:t>
      </w:r>
    </w:p>
    <w:p w14:paraId="6C360AC0"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Las personas jurídicas nacionales o extranjeras que hubiesen efectuado aportes a organizaciones políticas durante un proceso electoral, por todo el período de gobierno representativo y dentro de la circunscripción en la cual la organización política beneficiada con el aporte ganó el proceso electoral que corresponda.</w:t>
      </w:r>
    </w:p>
    <w:p w14:paraId="70475B23"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y siempre que cuenten con el mismo objeto social, las personas jurídicas cuyos integrantes formen o hayan formado parte en la fecha en que se cometió la infracción, de personas jurídicas que se encuentren sancionadas administrativamente con inhabilitación temporal o permanente para participar en procedimientos de selección y para contratar con el Estado. El impedimento también es aplicable a la persona jurídica cuyos integrantes se encuentren sancionados administrativamente con inhabilitación temporal o permanente para participar en procedimientos de selección y para contratar con el Estado. Para estos efectos, por integrantes se entiende a los representantes legales, integrantes de los órganos de administración, socios, accionistas, participacionistas o titulares. Para el caso de socios, accionistas, participacionistas o titulares, el impedimento es aplicable siempre que su participación individual o conjunta sea superior al treinta por ciento (30%) del capital o patrimonio social y por el tiempo que la sanción se encuentre vigente.</w:t>
      </w:r>
    </w:p>
    <w:p w14:paraId="7C80436C"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las personas naturales o jurídicas que se encuentren comprendidas en las Listas de Organismos Multilaterales de personas y empresas no elegibles para ser contratadas.</w:t>
      </w:r>
    </w:p>
    <w:p w14:paraId="5FA79439" w14:textId="77777777" w:rsidR="008F67D4" w:rsidRPr="002B1727" w:rsidRDefault="008F67D4" w:rsidP="008F67D4">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tbl>
    <w:tblPr>
      <w:tblStyle w:val="TableNormal"/>
      <w:tblW w:w="8726" w:type="dxa"/>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3"/>
      <w:gridCol w:w="6193"/>
    </w:tblGrid>
    <w:tr w:rsidR="008F67D4" w:rsidRPr="00B24CA3" w14:paraId="526E98D8" w14:textId="77777777" w:rsidTr="006C6719">
      <w:trPr>
        <w:trHeight w:val="236"/>
      </w:trPr>
      <w:tc>
        <w:tcPr>
          <w:tcW w:w="2533" w:type="dxa"/>
          <w:tcBorders>
            <w:left w:val="single" w:sz="8" w:space="0" w:color="000000"/>
            <w:right w:val="single" w:sz="8" w:space="0" w:color="000000"/>
          </w:tcBorders>
        </w:tcPr>
        <w:p w14:paraId="5ECCC690" w14:textId="77777777" w:rsidR="008F67D4" w:rsidRPr="00B24CA3" w:rsidRDefault="008F67D4" w:rsidP="00A07578">
          <w:pPr>
            <w:pStyle w:val="TableParagraph"/>
            <w:spacing w:before="6" w:line="240" w:lineRule="auto"/>
            <w:ind w:left="0"/>
            <w:rPr>
              <w:rFonts w:ascii="Arial" w:hAnsi="Arial" w:cs="Arial"/>
              <w:b/>
              <w:sz w:val="5"/>
            </w:rPr>
          </w:pPr>
        </w:p>
        <w:p w14:paraId="70EA6AFC" w14:textId="77777777" w:rsidR="008F67D4" w:rsidRPr="00B24CA3" w:rsidRDefault="008F67D4" w:rsidP="00A07578">
          <w:pPr>
            <w:pStyle w:val="TableParagraph"/>
            <w:spacing w:line="240" w:lineRule="auto"/>
            <w:ind w:left="267"/>
            <w:rPr>
              <w:rFonts w:ascii="Arial" w:hAnsi="Arial" w:cs="Arial"/>
              <w:sz w:val="20"/>
            </w:rPr>
          </w:pPr>
          <w:r w:rsidRPr="00B24CA3">
            <w:rPr>
              <w:rFonts w:ascii="Arial" w:hAnsi="Arial" w:cs="Arial"/>
              <w:noProof/>
              <w:sz w:val="20"/>
            </w:rPr>
            <w:drawing>
              <wp:inline distT="0" distB="0" distL="0" distR="0" wp14:anchorId="50B74C17" wp14:editId="22EEEB32">
                <wp:extent cx="1335744" cy="365760"/>
                <wp:effectExtent l="0" t="0" r="0" b="0"/>
                <wp:docPr id="438618635" name="Image 17" descr="Text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618635" name="Image 17" descr="Texto&#10;&#10;Descripción generada automáticamente"/>
                        <pic:cNvPicPr/>
                      </pic:nvPicPr>
                      <pic:blipFill>
                        <a:blip r:embed="rId1" cstate="print"/>
                        <a:stretch>
                          <a:fillRect/>
                        </a:stretch>
                      </pic:blipFill>
                      <pic:spPr>
                        <a:xfrm>
                          <a:off x="0" y="0"/>
                          <a:ext cx="1335744" cy="365760"/>
                        </a:xfrm>
                        <a:prstGeom prst="rect">
                          <a:avLst/>
                        </a:prstGeom>
                      </pic:spPr>
                    </pic:pic>
                  </a:graphicData>
                </a:graphic>
              </wp:inline>
            </w:drawing>
          </w:r>
        </w:p>
      </w:tc>
      <w:tc>
        <w:tcPr>
          <w:tcW w:w="6193" w:type="dxa"/>
          <w:tcBorders>
            <w:left w:val="single" w:sz="8" w:space="0" w:color="000000"/>
            <w:right w:val="single" w:sz="8" w:space="0" w:color="000000"/>
          </w:tcBorders>
        </w:tcPr>
        <w:p w14:paraId="6C173C3B" w14:textId="6FB5039A" w:rsidR="008F67D4" w:rsidRPr="00C565E2" w:rsidRDefault="008F67D4" w:rsidP="0084195B">
          <w:pPr>
            <w:spacing w:after="0" w:line="240" w:lineRule="auto"/>
            <w:jc w:val="center"/>
            <w:rPr>
              <w:rFonts w:ascii="Arial" w:hAnsi="Arial" w:cs="Arial"/>
              <w:b/>
              <w:sz w:val="18"/>
              <w:szCs w:val="18"/>
              <w:lang w:val="es-PE"/>
            </w:rPr>
          </w:pPr>
          <w:r w:rsidRPr="00C565E2">
            <w:rPr>
              <w:rFonts w:ascii="Arial" w:hAnsi="Arial" w:cs="Arial"/>
              <w:b/>
              <w:sz w:val="18"/>
              <w:szCs w:val="18"/>
              <w:lang w:val="es-PE"/>
            </w:rPr>
            <w:t>“LINEAMIENTOS PARA LAS CONTRATACIONES CUYOS MONTOS SEAN IGUALES O INFERIORES A OCHO (08) UNIDADES IMPOSITIVAS TRIBUTARIAS (UIT) EN EL GOBIERNO REGIONAL DE AMAZONAS”</w:t>
          </w:r>
        </w:p>
      </w:tc>
    </w:tr>
  </w:tbl>
  <w:p w14:paraId="3452C1C4" w14:textId="77777777" w:rsidR="008F67D4" w:rsidRDefault="008F67D4" w:rsidP="00FA44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abstractNumId w:val="22"/>
  </w:num>
  <w:num w:numId="2">
    <w:abstractNumId w:val="23"/>
  </w:num>
  <w:num w:numId="3">
    <w:abstractNumId w:val="30"/>
  </w:num>
  <w:num w:numId="4">
    <w:abstractNumId w:val="38"/>
  </w:num>
  <w:num w:numId="5">
    <w:abstractNumId w:val="4"/>
  </w:num>
  <w:num w:numId="6">
    <w:abstractNumId w:val="31"/>
  </w:num>
  <w:num w:numId="7">
    <w:abstractNumId w:val="43"/>
  </w:num>
  <w:num w:numId="8">
    <w:abstractNumId w:val="42"/>
  </w:num>
  <w:num w:numId="9">
    <w:abstractNumId w:val="18"/>
  </w:num>
  <w:num w:numId="10">
    <w:abstractNumId w:val="37"/>
  </w:num>
  <w:num w:numId="11">
    <w:abstractNumId w:val="6"/>
  </w:num>
  <w:num w:numId="12">
    <w:abstractNumId w:val="5"/>
  </w:num>
  <w:num w:numId="13">
    <w:abstractNumId w:val="14"/>
  </w:num>
  <w:num w:numId="14">
    <w:abstractNumId w:val="20"/>
  </w:num>
  <w:num w:numId="15">
    <w:abstractNumId w:val="9"/>
  </w:num>
  <w:num w:numId="16">
    <w:abstractNumId w:val="8"/>
  </w:num>
  <w:num w:numId="17">
    <w:abstractNumId w:val="36"/>
  </w:num>
  <w:num w:numId="18">
    <w:abstractNumId w:val="28"/>
  </w:num>
  <w:num w:numId="19">
    <w:abstractNumId w:val="21"/>
  </w:num>
  <w:num w:numId="20">
    <w:abstractNumId w:val="25"/>
  </w:num>
  <w:num w:numId="21">
    <w:abstractNumId w:val="3"/>
  </w:num>
  <w:num w:numId="22">
    <w:abstractNumId w:val="40"/>
  </w:num>
  <w:num w:numId="23">
    <w:abstractNumId w:val="39"/>
  </w:num>
  <w:num w:numId="24">
    <w:abstractNumId w:val="26"/>
  </w:num>
  <w:num w:numId="25">
    <w:abstractNumId w:val="19"/>
  </w:num>
  <w:num w:numId="26">
    <w:abstractNumId w:val="24"/>
  </w:num>
  <w:num w:numId="27">
    <w:abstractNumId w:val="16"/>
  </w:num>
  <w:num w:numId="28">
    <w:abstractNumId w:val="0"/>
  </w:num>
  <w:num w:numId="29">
    <w:abstractNumId w:val="34"/>
  </w:num>
  <w:num w:numId="30">
    <w:abstractNumId w:val="29"/>
  </w:num>
  <w:num w:numId="31">
    <w:abstractNumId w:val="1"/>
  </w:num>
  <w:num w:numId="32">
    <w:abstractNumId w:val="35"/>
  </w:num>
  <w:num w:numId="33">
    <w:abstractNumId w:val="10"/>
  </w:num>
  <w:num w:numId="34">
    <w:abstractNumId w:val="2"/>
  </w:num>
  <w:num w:numId="35">
    <w:abstractNumId w:val="13"/>
  </w:num>
  <w:num w:numId="36">
    <w:abstractNumId w:val="15"/>
  </w:num>
  <w:num w:numId="37">
    <w:abstractNumId w:val="12"/>
  </w:num>
  <w:num w:numId="38">
    <w:abstractNumId w:val="27"/>
  </w:num>
  <w:num w:numId="39">
    <w:abstractNumId w:val="44"/>
  </w:num>
  <w:num w:numId="40">
    <w:abstractNumId w:val="17"/>
  </w:num>
  <w:num w:numId="41">
    <w:abstractNumId w:val="32"/>
  </w:num>
  <w:num w:numId="42">
    <w:abstractNumId w:val="7"/>
  </w:num>
  <w:num w:numId="43">
    <w:abstractNumId w:val="11"/>
  </w:num>
  <w:num w:numId="44">
    <w:abstractNumId w:val="41"/>
  </w:num>
  <w:num w:numId="45">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141F"/>
    <w:rsid w:val="000835F0"/>
    <w:rsid w:val="0008413C"/>
    <w:rsid w:val="000841B2"/>
    <w:rsid w:val="000932A8"/>
    <w:rsid w:val="00095570"/>
    <w:rsid w:val="00095BCC"/>
    <w:rsid w:val="000A6CDD"/>
    <w:rsid w:val="000A77D8"/>
    <w:rsid w:val="000B2287"/>
    <w:rsid w:val="000C482F"/>
    <w:rsid w:val="000C4DE5"/>
    <w:rsid w:val="000D4B33"/>
    <w:rsid w:val="000D7BC2"/>
    <w:rsid w:val="000E58DC"/>
    <w:rsid w:val="000E5B13"/>
    <w:rsid w:val="000E70A4"/>
    <w:rsid w:val="000F1AD2"/>
    <w:rsid w:val="000F2234"/>
    <w:rsid w:val="00104373"/>
    <w:rsid w:val="00112D19"/>
    <w:rsid w:val="00113952"/>
    <w:rsid w:val="00113B9C"/>
    <w:rsid w:val="00117081"/>
    <w:rsid w:val="001270EB"/>
    <w:rsid w:val="0013357C"/>
    <w:rsid w:val="00141FED"/>
    <w:rsid w:val="001426ED"/>
    <w:rsid w:val="00143B67"/>
    <w:rsid w:val="0014514A"/>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64A3"/>
    <w:rsid w:val="001F6871"/>
    <w:rsid w:val="001F7E03"/>
    <w:rsid w:val="002008E7"/>
    <w:rsid w:val="00211228"/>
    <w:rsid w:val="00213BF7"/>
    <w:rsid w:val="00214E62"/>
    <w:rsid w:val="00232B10"/>
    <w:rsid w:val="002437B7"/>
    <w:rsid w:val="0024450C"/>
    <w:rsid w:val="002463D4"/>
    <w:rsid w:val="00246682"/>
    <w:rsid w:val="00260904"/>
    <w:rsid w:val="00260933"/>
    <w:rsid w:val="002628E3"/>
    <w:rsid w:val="002660FB"/>
    <w:rsid w:val="002751D1"/>
    <w:rsid w:val="00275423"/>
    <w:rsid w:val="00282C8F"/>
    <w:rsid w:val="00284B57"/>
    <w:rsid w:val="002853DC"/>
    <w:rsid w:val="002A6467"/>
    <w:rsid w:val="002C527D"/>
    <w:rsid w:val="002D1183"/>
    <w:rsid w:val="002D162E"/>
    <w:rsid w:val="002D45F4"/>
    <w:rsid w:val="002E0702"/>
    <w:rsid w:val="002E33C9"/>
    <w:rsid w:val="002E3E3E"/>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6F02"/>
    <w:rsid w:val="004E29E1"/>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4208"/>
    <w:rsid w:val="0057661C"/>
    <w:rsid w:val="005875D8"/>
    <w:rsid w:val="0059092B"/>
    <w:rsid w:val="005A1807"/>
    <w:rsid w:val="005A4CE1"/>
    <w:rsid w:val="005A63A6"/>
    <w:rsid w:val="005B5104"/>
    <w:rsid w:val="005C03FC"/>
    <w:rsid w:val="005C3F9B"/>
    <w:rsid w:val="005D0ED4"/>
    <w:rsid w:val="005D1BD6"/>
    <w:rsid w:val="005E7FF4"/>
    <w:rsid w:val="005F35F7"/>
    <w:rsid w:val="00600B13"/>
    <w:rsid w:val="00602DC8"/>
    <w:rsid w:val="0060601F"/>
    <w:rsid w:val="00613C1E"/>
    <w:rsid w:val="00617BB5"/>
    <w:rsid w:val="00620009"/>
    <w:rsid w:val="006232A5"/>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1855"/>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1490"/>
    <w:rsid w:val="00722954"/>
    <w:rsid w:val="00723BFC"/>
    <w:rsid w:val="0072466A"/>
    <w:rsid w:val="00756836"/>
    <w:rsid w:val="00757B22"/>
    <w:rsid w:val="0076017A"/>
    <w:rsid w:val="00766B30"/>
    <w:rsid w:val="0077174A"/>
    <w:rsid w:val="00772AA8"/>
    <w:rsid w:val="007779FC"/>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F07DD"/>
    <w:rsid w:val="007F197F"/>
    <w:rsid w:val="007F1BA9"/>
    <w:rsid w:val="007F2E47"/>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77C4A"/>
    <w:rsid w:val="00885C81"/>
    <w:rsid w:val="00891833"/>
    <w:rsid w:val="00892A63"/>
    <w:rsid w:val="00895A5A"/>
    <w:rsid w:val="008A1852"/>
    <w:rsid w:val="008B172A"/>
    <w:rsid w:val="008B6718"/>
    <w:rsid w:val="008B6ACE"/>
    <w:rsid w:val="008C1E9D"/>
    <w:rsid w:val="008D355B"/>
    <w:rsid w:val="008D3C92"/>
    <w:rsid w:val="008D4A15"/>
    <w:rsid w:val="008D68CC"/>
    <w:rsid w:val="008E1EBB"/>
    <w:rsid w:val="008E7431"/>
    <w:rsid w:val="008F0DA1"/>
    <w:rsid w:val="008F18A4"/>
    <w:rsid w:val="008F33FA"/>
    <w:rsid w:val="008F6157"/>
    <w:rsid w:val="008F67D4"/>
    <w:rsid w:val="00901234"/>
    <w:rsid w:val="00902147"/>
    <w:rsid w:val="00902338"/>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73F1"/>
    <w:rsid w:val="00963EF4"/>
    <w:rsid w:val="009709DC"/>
    <w:rsid w:val="00972AE2"/>
    <w:rsid w:val="0098763F"/>
    <w:rsid w:val="00990C8A"/>
    <w:rsid w:val="00992189"/>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7BFB"/>
    <w:rsid w:val="00A31B60"/>
    <w:rsid w:val="00A347BB"/>
    <w:rsid w:val="00A36D3C"/>
    <w:rsid w:val="00A4019F"/>
    <w:rsid w:val="00A43E2A"/>
    <w:rsid w:val="00A47902"/>
    <w:rsid w:val="00A67623"/>
    <w:rsid w:val="00A7146C"/>
    <w:rsid w:val="00A71802"/>
    <w:rsid w:val="00A778E8"/>
    <w:rsid w:val="00A81329"/>
    <w:rsid w:val="00A825D9"/>
    <w:rsid w:val="00A85A98"/>
    <w:rsid w:val="00A86F2C"/>
    <w:rsid w:val="00A9138C"/>
    <w:rsid w:val="00A930A8"/>
    <w:rsid w:val="00AB2101"/>
    <w:rsid w:val="00AB2468"/>
    <w:rsid w:val="00AB3DA5"/>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34927"/>
    <w:rsid w:val="00B35731"/>
    <w:rsid w:val="00B42E46"/>
    <w:rsid w:val="00B45353"/>
    <w:rsid w:val="00B4670B"/>
    <w:rsid w:val="00B47990"/>
    <w:rsid w:val="00B55FFD"/>
    <w:rsid w:val="00B65A13"/>
    <w:rsid w:val="00B7262C"/>
    <w:rsid w:val="00B74E39"/>
    <w:rsid w:val="00B75F08"/>
    <w:rsid w:val="00B8381B"/>
    <w:rsid w:val="00B8520D"/>
    <w:rsid w:val="00B8740D"/>
    <w:rsid w:val="00B87B62"/>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C47"/>
    <w:rsid w:val="00C470B3"/>
    <w:rsid w:val="00C51B03"/>
    <w:rsid w:val="00C565E2"/>
    <w:rsid w:val="00C6000E"/>
    <w:rsid w:val="00C702E0"/>
    <w:rsid w:val="00C74331"/>
    <w:rsid w:val="00C75E54"/>
    <w:rsid w:val="00C962F3"/>
    <w:rsid w:val="00C9721A"/>
    <w:rsid w:val="00C9722A"/>
    <w:rsid w:val="00C97FDA"/>
    <w:rsid w:val="00CB3A7C"/>
    <w:rsid w:val="00CB5027"/>
    <w:rsid w:val="00CC5DBD"/>
    <w:rsid w:val="00CC7D0F"/>
    <w:rsid w:val="00CD6593"/>
    <w:rsid w:val="00CD7F88"/>
    <w:rsid w:val="00CE5DEC"/>
    <w:rsid w:val="00CE610D"/>
    <w:rsid w:val="00CF1ABD"/>
    <w:rsid w:val="00CF3B7D"/>
    <w:rsid w:val="00CF72AE"/>
    <w:rsid w:val="00D03183"/>
    <w:rsid w:val="00D03B90"/>
    <w:rsid w:val="00D04B3F"/>
    <w:rsid w:val="00D14A3E"/>
    <w:rsid w:val="00D24377"/>
    <w:rsid w:val="00D37B37"/>
    <w:rsid w:val="00D52974"/>
    <w:rsid w:val="00D57C7B"/>
    <w:rsid w:val="00D60382"/>
    <w:rsid w:val="00D6207C"/>
    <w:rsid w:val="00D66D5E"/>
    <w:rsid w:val="00D814AF"/>
    <w:rsid w:val="00D95EDE"/>
    <w:rsid w:val="00D96ADD"/>
    <w:rsid w:val="00D97F1C"/>
    <w:rsid w:val="00DA004D"/>
    <w:rsid w:val="00DA084A"/>
    <w:rsid w:val="00DA1E94"/>
    <w:rsid w:val="00DA1F2F"/>
    <w:rsid w:val="00DA543F"/>
    <w:rsid w:val="00DA6696"/>
    <w:rsid w:val="00DB0AD5"/>
    <w:rsid w:val="00DB1563"/>
    <w:rsid w:val="00DC27C3"/>
    <w:rsid w:val="00DC364C"/>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11071"/>
    <w:rsid w:val="00F16A61"/>
    <w:rsid w:val="00F2327B"/>
    <w:rsid w:val="00F25276"/>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6B24"/>
    <w:rsid w:val="00F83FD9"/>
    <w:rsid w:val="00F94D65"/>
    <w:rsid w:val="00FA20F1"/>
    <w:rsid w:val="00FA44D4"/>
    <w:rsid w:val="00FA4D06"/>
    <w:rsid w:val="00FB4465"/>
    <w:rsid w:val="00FB5891"/>
    <w:rsid w:val="00FC05A0"/>
    <w:rsid w:val="00FC0797"/>
    <w:rsid w:val="00FD5A47"/>
    <w:rsid w:val="00FD639E"/>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1"/>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26225-AFF4-4195-BBF2-0352D45C7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LENOVO</cp:lastModifiedBy>
  <cp:revision>2</cp:revision>
  <cp:lastPrinted>2024-11-13T18:42:00Z</cp:lastPrinted>
  <dcterms:created xsi:type="dcterms:W3CDTF">2025-01-06T21:06:00Z</dcterms:created>
  <dcterms:modified xsi:type="dcterms:W3CDTF">2025-01-06T21:06:00Z</dcterms:modified>
</cp:coreProperties>
</file>