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79E853DB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623C3B7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</w:t>
      </w:r>
      <w:r w:rsidRPr="002448D1">
        <w:rPr>
          <w:rFonts w:ascii="Arial" w:hAnsi="Arial" w:cs="Arial"/>
          <w:sz w:val="27"/>
          <w:szCs w:val="27"/>
        </w:rPr>
        <w:t xml:space="preserve"> </w:t>
      </w:r>
      <w:r w:rsidRPr="002448D1">
        <w:rPr>
          <w:rFonts w:ascii="Arial" w:hAnsi="Arial" w:cs="Arial"/>
          <w:sz w:val="27"/>
          <w:szCs w:val="27"/>
        </w:rPr>
        <w:t xml:space="preserve">Persona natural o jurídica. </w:t>
      </w:r>
    </w:p>
    <w:p w14:paraId="69E19C2F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Que cuente con Registro Nacional de Proveedores – RNP y no tenga impedimento para contratar con el Estado. </w:t>
      </w:r>
    </w:p>
    <w:p w14:paraId="7C37EB2D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RUC vigente. Experiencia: </w:t>
      </w:r>
    </w:p>
    <w:p w14:paraId="30019847" w14:textId="77777777" w:rsid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El postor debe acreditar un monto facturado acumulado equivalente a S/3,000.00 (tres mil y 00/100 Soles), en servicios iguales o similares al objeto de la prestación, durante los últimos cinco (05) años anteriores a la fecha de presentación de ofertas que se computarán desde la fecha de la conformidad o emisión del comprobante de pago, según corresponda. </w:t>
      </w:r>
    </w:p>
    <w:p w14:paraId="03840C03" w14:textId="28C88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Se consideran servicios similares a los siguientes: alimentación y/o refrigerios y/o catering y/o suministros de comidas y bebidas. </w:t>
      </w:r>
    </w:p>
    <w:p w14:paraId="1328881B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b/>
          <w:bCs/>
          <w:sz w:val="27"/>
          <w:szCs w:val="27"/>
        </w:rPr>
        <w:t>Acreditación:</w:t>
      </w:r>
      <w:r w:rsidRPr="002448D1">
        <w:rPr>
          <w:rFonts w:ascii="Arial" w:hAnsi="Arial" w:cs="Arial"/>
          <w:sz w:val="27"/>
          <w:szCs w:val="27"/>
        </w:rPr>
        <w:t xml:space="preserve"> </w:t>
      </w:r>
    </w:p>
    <w:p w14:paraId="60E5EB59" w14:textId="5BEA2B61" w:rsidR="002448D1" w:rsidRPr="002448D1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La experiencia del Proveedor en la especialidad se acreditará con copia simple de (i) contratos u órdenes de servicio, y su respectiva conformidad o constancia de prestación; o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En caso el postor sustente su experiencia en la especialidad mediante contrataciones realizadas con privados, para acreditar deberá presentar de forma obligatoria lo indicado en el numeral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correspondiente; no es posible que acredite su experiencia únicamente con la presentación de contratos u </w:t>
      </w:r>
      <w:r w:rsidRPr="002448D1">
        <w:rPr>
          <w:rFonts w:ascii="Arial" w:hAnsi="Arial" w:cs="Arial"/>
          <w:sz w:val="27"/>
          <w:szCs w:val="27"/>
        </w:rPr>
        <w:t>órdenes</w:t>
      </w:r>
      <w:r w:rsidRPr="002448D1">
        <w:rPr>
          <w:rFonts w:ascii="Arial" w:hAnsi="Arial" w:cs="Arial"/>
          <w:sz w:val="27"/>
          <w:szCs w:val="27"/>
        </w:rPr>
        <w:t xml:space="preserve"> de compra con conformidad o constancia de prestación.</w:t>
      </w:r>
    </w:p>
    <w:sectPr w:rsidR="002448D1" w:rsidRPr="002448D1" w:rsidSect="003250DE">
      <w:pgSz w:w="12240" w:h="15840"/>
      <w:pgMar w:top="993" w:right="160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448D1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C3289D"/>
    <w:rsid w:val="00C71C43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2025-08-19T15:06:00Z</dcterms:created>
  <dcterms:modified xsi:type="dcterms:W3CDTF">2025-08-19T15:06:00Z</dcterms:modified>
</cp:coreProperties>
</file>